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May 9, 2024</w:t>
      </w:r>
    </w:p>
    <w:p>
      <w:pPr>
        <w:spacing w:after="0" w:line="2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GoHealth, Inc.</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9"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_________________________</w:t>
      </w:r>
    </w:p>
    <w:p>
      <w:pPr>
        <w:spacing w:after="0" w:line="163" w:lineRule="exact"/>
        <w:rPr>
          <w:sz w:val="24"/>
          <w:szCs w:val="24"/>
          <w:color w:val="auto"/>
        </w:rPr>
      </w:pPr>
    </w:p>
    <w:tbl>
      <w:tblPr>
        <w:tblLayout w:type="fixed"/>
        <w:tblInd w:w="560" w:type="dxa"/>
        <w:tblCellMar>
          <w:top w:w="0" w:type="dxa"/>
          <w:left w:w="0" w:type="dxa"/>
          <w:bottom w:w="0" w:type="dxa"/>
          <w:right w:w="0" w:type="dxa"/>
        </w:tblCellMar>
      </w:tblPr>
      <w:tr>
        <w:trPr>
          <w:trHeight w:val="196"/>
        </w:trPr>
        <w:tc>
          <w:tcPr>
            <w:tcW w:w="3520" w:type="dxa"/>
            <w:vAlign w:val="bottom"/>
          </w:tcPr>
          <w:p>
            <w:pPr>
              <w:jc w:val="center"/>
              <w:ind w:right="608"/>
              <w:spacing w:after="0"/>
              <w:rPr>
                <w:sz w:val="20"/>
                <w:szCs w:val="20"/>
                <w:color w:val="auto"/>
              </w:rPr>
            </w:pPr>
            <w:r>
              <w:rPr>
                <w:rFonts w:ascii="Arial" w:cs="Arial" w:eastAsia="Arial" w:hAnsi="Arial"/>
                <w:sz w:val="14"/>
                <w:szCs w:val="14"/>
                <w:b w:val="1"/>
                <w:bCs w:val="1"/>
                <w:color w:val="auto"/>
              </w:rPr>
              <w:t>Delaware</w:t>
            </w:r>
          </w:p>
        </w:tc>
        <w:tc>
          <w:tcPr>
            <w:tcW w:w="3240" w:type="dxa"/>
            <w:vAlign w:val="bottom"/>
          </w:tcPr>
          <w:p>
            <w:pPr>
              <w:jc w:val="right"/>
              <w:ind w:right="1285"/>
              <w:spacing w:after="0"/>
              <w:rPr>
                <w:sz w:val="20"/>
                <w:szCs w:val="20"/>
                <w:color w:val="auto"/>
              </w:rPr>
            </w:pPr>
            <w:r>
              <w:rPr>
                <w:rFonts w:ascii="Arial" w:cs="Arial" w:eastAsia="Arial" w:hAnsi="Arial"/>
                <w:sz w:val="14"/>
                <w:szCs w:val="14"/>
                <w:b w:val="1"/>
                <w:bCs w:val="1"/>
                <w:color w:val="auto"/>
              </w:rPr>
              <w:t>001-39390</w:t>
            </w:r>
          </w:p>
        </w:tc>
        <w:tc>
          <w:tcPr>
            <w:tcW w:w="3060" w:type="dxa"/>
            <w:vAlign w:val="bottom"/>
          </w:tcPr>
          <w:p>
            <w:pPr>
              <w:jc w:val="right"/>
              <w:ind w:right="648"/>
              <w:spacing w:after="0"/>
              <w:rPr>
                <w:sz w:val="20"/>
                <w:szCs w:val="20"/>
                <w:color w:val="auto"/>
              </w:rPr>
            </w:pPr>
            <w:r>
              <w:rPr>
                <w:rFonts w:ascii="Arial" w:cs="Arial" w:eastAsia="Arial" w:hAnsi="Arial"/>
                <w:sz w:val="14"/>
                <w:szCs w:val="14"/>
                <w:b w:val="1"/>
                <w:bCs w:val="1"/>
                <w:color w:val="auto"/>
              </w:rPr>
              <w:t>85-0563805</w:t>
            </w:r>
          </w:p>
        </w:tc>
      </w:tr>
      <w:tr>
        <w:trPr>
          <w:trHeight w:val="223"/>
        </w:trPr>
        <w:tc>
          <w:tcPr>
            <w:tcW w:w="3520" w:type="dxa"/>
            <w:vAlign w:val="bottom"/>
          </w:tcPr>
          <w:p>
            <w:pPr>
              <w:jc w:val="center"/>
              <w:ind w:right="608"/>
              <w:spacing w:after="0"/>
              <w:rPr>
                <w:sz w:val="20"/>
                <w:szCs w:val="20"/>
                <w:color w:val="auto"/>
              </w:rPr>
            </w:pPr>
            <w:r>
              <w:rPr>
                <w:rFonts w:ascii="Arial" w:cs="Arial" w:eastAsia="Arial" w:hAnsi="Arial"/>
                <w:sz w:val="14"/>
                <w:szCs w:val="14"/>
                <w:color w:val="auto"/>
              </w:rPr>
              <w:t>(State or other jurisdiction of incorporation)</w:t>
            </w:r>
          </w:p>
        </w:tc>
        <w:tc>
          <w:tcPr>
            <w:tcW w:w="3240" w:type="dxa"/>
            <w:vAlign w:val="bottom"/>
          </w:tcPr>
          <w:p>
            <w:pPr>
              <w:ind w:left="680"/>
              <w:spacing w:after="0"/>
              <w:rPr>
                <w:sz w:val="20"/>
                <w:szCs w:val="20"/>
                <w:color w:val="auto"/>
              </w:rPr>
            </w:pPr>
            <w:r>
              <w:rPr>
                <w:rFonts w:ascii="Arial" w:cs="Arial" w:eastAsia="Arial" w:hAnsi="Arial"/>
                <w:sz w:val="14"/>
                <w:szCs w:val="14"/>
                <w:color w:val="auto"/>
              </w:rPr>
              <w:t>(Commission File Number)</w:t>
            </w:r>
          </w:p>
        </w:tc>
        <w:tc>
          <w:tcPr>
            <w:tcW w:w="3060" w:type="dxa"/>
            <w:vAlign w:val="bottom"/>
          </w:tcPr>
          <w:p>
            <w:pPr>
              <w:jc w:val="center"/>
              <w:ind w:left="768"/>
              <w:spacing w:after="0"/>
              <w:rPr>
                <w:sz w:val="20"/>
                <w:szCs w:val="20"/>
                <w:color w:val="auto"/>
              </w:rPr>
            </w:pPr>
            <w:r>
              <w:rPr>
                <w:rFonts w:ascii="Arial" w:cs="Arial" w:eastAsia="Arial" w:hAnsi="Arial"/>
                <w:sz w:val="14"/>
                <w:szCs w:val="14"/>
                <w:color w:val="auto"/>
              </w:rPr>
              <w:t>(I.R.S. Employer Identification No.)</w:t>
            </w:r>
          </w:p>
        </w:tc>
      </w:tr>
      <w:tr>
        <w:trPr>
          <w:trHeight w:val="465"/>
        </w:trPr>
        <w:tc>
          <w:tcPr>
            <w:tcW w:w="3520" w:type="dxa"/>
            <w:vAlign w:val="bottom"/>
          </w:tcPr>
          <w:p>
            <w:pPr>
              <w:jc w:val="center"/>
              <w:ind w:right="608"/>
              <w:spacing w:after="0"/>
              <w:rPr>
                <w:sz w:val="20"/>
                <w:szCs w:val="20"/>
                <w:color w:val="auto"/>
              </w:rPr>
            </w:pPr>
            <w:r>
              <w:rPr>
                <w:rFonts w:ascii="Arial" w:cs="Arial" w:eastAsia="Arial" w:hAnsi="Arial"/>
                <w:sz w:val="14"/>
                <w:szCs w:val="14"/>
                <w:b w:val="1"/>
                <w:bCs w:val="1"/>
                <w:color w:val="auto"/>
              </w:rPr>
              <w:t>222 W Merchandise Mart Plaza Suite 1750</w:t>
            </w:r>
          </w:p>
        </w:tc>
        <w:tc>
          <w:tcPr>
            <w:tcW w:w="3240" w:type="dxa"/>
            <w:vAlign w:val="bottom"/>
          </w:tcPr>
          <w:p>
            <w:pPr>
              <w:spacing w:after="0"/>
              <w:rPr>
                <w:sz w:val="24"/>
                <w:szCs w:val="24"/>
                <w:color w:val="auto"/>
              </w:rPr>
            </w:pPr>
          </w:p>
        </w:tc>
        <w:tc>
          <w:tcPr>
            <w:tcW w:w="3060" w:type="dxa"/>
            <w:vAlign w:val="bottom"/>
          </w:tcPr>
          <w:p>
            <w:pPr>
              <w:jc w:val="right"/>
              <w:ind w:right="848"/>
              <w:spacing w:after="0"/>
              <w:rPr>
                <w:sz w:val="20"/>
                <w:szCs w:val="20"/>
                <w:color w:val="auto"/>
              </w:rPr>
            </w:pPr>
            <w:r>
              <w:rPr>
                <w:rFonts w:ascii="Arial" w:cs="Arial" w:eastAsia="Arial" w:hAnsi="Arial"/>
                <w:sz w:val="14"/>
                <w:szCs w:val="14"/>
                <w:b w:val="1"/>
                <w:bCs w:val="1"/>
                <w:color w:val="auto"/>
              </w:rPr>
              <w:t>60654</w:t>
            </w:r>
          </w:p>
        </w:tc>
      </w:tr>
      <w:tr>
        <w:trPr>
          <w:trHeight w:val="229"/>
        </w:trPr>
        <w:tc>
          <w:tcPr>
            <w:tcW w:w="3520" w:type="dxa"/>
            <w:vAlign w:val="bottom"/>
          </w:tcPr>
          <w:p>
            <w:pPr>
              <w:ind w:left="800"/>
              <w:spacing w:after="0"/>
              <w:rPr>
                <w:sz w:val="20"/>
                <w:szCs w:val="20"/>
                <w:color w:val="auto"/>
              </w:rPr>
            </w:pPr>
            <w:r>
              <w:rPr>
                <w:rFonts w:ascii="Arial" w:cs="Arial" w:eastAsia="Arial" w:hAnsi="Arial"/>
                <w:sz w:val="14"/>
                <w:szCs w:val="14"/>
                <w:b w:val="1"/>
                <w:bCs w:val="1"/>
                <w:color w:val="auto"/>
              </w:rPr>
              <w:t>Chicago, Illinois</w:t>
            </w:r>
          </w:p>
        </w:tc>
        <w:tc>
          <w:tcPr>
            <w:tcW w:w="32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23"/>
        </w:trPr>
        <w:tc>
          <w:tcPr>
            <w:tcW w:w="3520" w:type="dxa"/>
            <w:vAlign w:val="bottom"/>
          </w:tcPr>
          <w:p>
            <w:pPr>
              <w:jc w:val="center"/>
              <w:ind w:right="628"/>
              <w:spacing w:after="0"/>
              <w:rPr>
                <w:sz w:val="20"/>
                <w:szCs w:val="20"/>
                <w:color w:val="auto"/>
              </w:rPr>
            </w:pPr>
            <w:r>
              <w:rPr>
                <w:rFonts w:ascii="Arial" w:cs="Arial" w:eastAsia="Arial" w:hAnsi="Arial"/>
                <w:sz w:val="14"/>
                <w:szCs w:val="14"/>
                <w:color w:val="auto"/>
              </w:rPr>
              <w:t>(Address of principal executive offices)</w:t>
            </w:r>
          </w:p>
        </w:tc>
        <w:tc>
          <w:tcPr>
            <w:tcW w:w="3240" w:type="dxa"/>
            <w:vAlign w:val="bottom"/>
          </w:tcPr>
          <w:p>
            <w:pPr>
              <w:spacing w:after="0"/>
              <w:rPr>
                <w:sz w:val="19"/>
                <w:szCs w:val="19"/>
                <w:color w:val="auto"/>
              </w:rPr>
            </w:pPr>
          </w:p>
        </w:tc>
        <w:tc>
          <w:tcPr>
            <w:tcW w:w="3060" w:type="dxa"/>
            <w:vAlign w:val="bottom"/>
          </w:tcPr>
          <w:p>
            <w:pPr>
              <w:jc w:val="center"/>
              <w:ind w:left="748"/>
              <w:spacing w:after="0"/>
              <w:rPr>
                <w:sz w:val="20"/>
                <w:szCs w:val="20"/>
                <w:color w:val="auto"/>
              </w:rPr>
            </w:pPr>
            <w:r>
              <w:rPr>
                <w:rFonts w:ascii="Arial" w:cs="Arial" w:eastAsia="Arial" w:hAnsi="Arial"/>
                <w:sz w:val="14"/>
                <w:szCs w:val="14"/>
                <w:color w:val="auto"/>
              </w:rPr>
              <w:t>(Zip Code)</w:t>
            </w:r>
          </w:p>
        </w:tc>
      </w:tr>
      <w:tr>
        <w:trPr>
          <w:trHeight w:val="419"/>
        </w:trPr>
        <w:tc>
          <w:tcPr>
            <w:tcW w:w="3520" w:type="dxa"/>
            <w:vAlign w:val="bottom"/>
          </w:tcPr>
          <w:p>
            <w:pPr>
              <w:spacing w:after="0"/>
              <w:rPr>
                <w:sz w:val="24"/>
                <w:szCs w:val="24"/>
                <w:color w:val="auto"/>
              </w:rPr>
            </w:pPr>
          </w:p>
        </w:tc>
        <w:tc>
          <w:tcPr>
            <w:tcW w:w="3240" w:type="dxa"/>
            <w:vAlign w:val="bottom"/>
          </w:tcPr>
          <w:p>
            <w:pPr>
              <w:jc w:val="right"/>
              <w:ind w:right="1065"/>
              <w:spacing w:after="0"/>
              <w:rPr>
                <w:sz w:val="20"/>
                <w:szCs w:val="20"/>
                <w:color w:val="auto"/>
              </w:rPr>
            </w:pPr>
            <w:r>
              <w:rPr>
                <w:rFonts w:ascii="Arial" w:cs="Arial" w:eastAsia="Arial" w:hAnsi="Arial"/>
                <w:sz w:val="16"/>
                <w:szCs w:val="16"/>
                <w:b w:val="1"/>
                <w:bCs w:val="1"/>
                <w:color w:val="auto"/>
              </w:rPr>
              <w:t>(312) 386-8200</w:t>
            </w:r>
          </w:p>
        </w:tc>
        <w:tc>
          <w:tcPr>
            <w:tcW w:w="3060" w:type="dxa"/>
            <w:vAlign w:val="bottom"/>
          </w:tcPr>
          <w:p>
            <w:pPr>
              <w:spacing w:after="0"/>
              <w:rPr>
                <w:sz w:val="24"/>
                <w:szCs w:val="24"/>
                <w:color w:val="auto"/>
              </w:rPr>
            </w:pP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14]/A</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31"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101"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4"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40"/>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99"/>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17"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13"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On May 9, 2024, GoHealth, Inc. issued a press release announcing its financial results for the quarter ended March 31, 2024. A copy of the press release is furnished as Exhibit 99.1 to this Current Report on Form 8-K.</w:t>
      </w:r>
    </w:p>
    <w:p>
      <w:pPr>
        <w:spacing w:after="0" w:line="3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1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69"/>
        </w:trPr>
        <w:tc>
          <w:tcPr>
            <w:tcW w:w="1300" w:type="dxa"/>
            <w:vAlign w:val="bottom"/>
            <w:tcBorders>
              <w:top w:val="single" w:sz="8" w:color="auto"/>
            </w:tcBorders>
          </w:tcPr>
          <w:p>
            <w:pPr>
              <w:jc w:val="right"/>
              <w:ind w:right="419"/>
              <w:spacing w:after="0" w:line="169"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4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dated May 9, 2024</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234"/>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68"/>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92"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May 9, 2024</w:t>
      </w:r>
      <w:r>
        <w:rPr>
          <w:sz w:val="20"/>
          <w:szCs w:val="20"/>
          <w:color w:val="auto"/>
        </w:rPr>
        <w:tab/>
      </w:r>
      <w:r>
        <w:rPr>
          <w:rFonts w:ascii="Arial" w:cs="Arial" w:eastAsia="Arial" w:hAnsi="Arial"/>
          <w:sz w:val="15"/>
          <w:szCs w:val="15"/>
          <w:color w:val="auto"/>
        </w:rPr>
        <w:t>By: /s/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Jason Schulz</w:t>
      </w:r>
    </w:p>
    <w:p>
      <w:pPr>
        <w:spacing w:after="0" w:line="3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1003" w:right="359" w:bottom="1440" w:gutter="0" w:footer="0" w:header="0"/>
        </w:sectPr>
      </w:pPr>
    </w:p>
    <w:bookmarkStart w:id="3" w:name="page4"/>
    <w:bookmarkEnd w:id="3"/>
    <w:p>
      <w:pPr>
        <w:ind w:left="1030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19050</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A2299"/>
        </w:rPr>
        <w:t>GoHealth Reports First Quarter 2024 Results</w:t>
      </w:r>
    </w:p>
    <w:p>
      <w:pPr>
        <w:spacing w:after="0" w:line="200" w:lineRule="exact"/>
        <w:rPr>
          <w:sz w:val="20"/>
          <w:szCs w:val="20"/>
          <w:color w:val="auto"/>
        </w:rPr>
      </w:pPr>
    </w:p>
    <w:p>
      <w:pPr>
        <w:spacing w:after="0" w:line="369"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CHICAGO, May 9, 2024 — GoHealth, Inc. (NASDAQ: GOCO) (“GoHealth” or the “Company”), a leading health insurance marketplace and Medicare-focused digital health company, today announced financial results for the three months ended March 31, 2024.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0A2299"/>
        </w:rPr>
        <w:t>First Quarter Highlights</w:t>
      </w:r>
    </w:p>
    <w:p>
      <w:pPr>
        <w:spacing w:after="0" w:line="11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First quarter 2024 net revenues of $185.6 million, a slight increase compared to $183.2 million in the prior year period.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First quarter 2024 Submissions of 216,148, a 2,503 increase compared to 213,645 Submissions in the prior year period.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First quarter 2024 net loss of $21.3 million, an improvement of $1.2 million compared to $22.5 million in the prior year period.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First quarter 2024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$26.9 million, a decrease of $1.9 million compared to $28.8 million in the prior year period.</w:t>
      </w:r>
    </w:p>
    <w:p>
      <w:pPr>
        <w:spacing w:after="0" w:line="69" w:lineRule="exact"/>
        <w:rPr>
          <w:rFonts w:ascii="Arial" w:cs="Arial" w:eastAsia="Arial" w:hAnsi="Arial"/>
          <w:sz w:val="16"/>
          <w:szCs w:val="16"/>
          <w:color w:val="auto"/>
        </w:rPr>
      </w:pPr>
    </w:p>
    <w:p>
      <w:pPr>
        <w:ind w:left="660" w:right="42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First quarter 2024 trailing twelve months (“TTM”) cash flow from operations was $101.2 million, compared to TTM cash flow from operations of $26.9 million in the prior year period.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0A2299"/>
        </w:rPr>
        <w:t>Regulatory Updates</w:t>
      </w:r>
    </w:p>
    <w:p>
      <w:pPr>
        <w:spacing w:after="0" w:line="113" w:lineRule="exact"/>
        <w:rPr>
          <w:sz w:val="20"/>
          <w:szCs w:val="20"/>
          <w:color w:val="auto"/>
        </w:rPr>
      </w:pPr>
    </w:p>
    <w:p>
      <w:pPr>
        <w:ind w:left="660" w:right="34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gaining insight into the Centers for Medicare and Medicaid Services (“CMS”) Final 2025 Marketing Rule and are confident that the CMS guidelines align with our Encompass model and our strategic plans.</w:t>
      </w:r>
    </w:p>
    <w:p>
      <w:pPr>
        <w:spacing w:after="0" w:line="61" w:lineRule="exact"/>
        <w:rPr>
          <w:rFonts w:ascii="Arial" w:cs="Arial" w:eastAsia="Arial" w:hAnsi="Arial"/>
          <w:sz w:val="16"/>
          <w:szCs w:val="16"/>
          <w:color w:val="auto"/>
        </w:rPr>
      </w:pPr>
    </w:p>
    <w:p>
      <w:pPr>
        <w:ind w:left="660" w:right="66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health plans’ reactions to the CMS Final 2025 Rate Notice we expect greater demand for the GoHealth personalized Encompass shopping and enrollment experience this fall.</w:t>
      </w:r>
    </w:p>
    <w:p>
      <w:pPr>
        <w:spacing w:after="0" w:line="345" w:lineRule="exact"/>
        <w:rPr>
          <w:sz w:val="20"/>
          <w:szCs w:val="20"/>
          <w:color w:val="auto"/>
        </w:rPr>
      </w:pPr>
    </w:p>
    <w:p>
      <w:pPr>
        <w:ind w:left="20" w:right="480"/>
        <w:spacing w:after="0" w:line="265" w:lineRule="auto"/>
        <w:rPr>
          <w:sz w:val="20"/>
          <w:szCs w:val="20"/>
          <w:color w:val="auto"/>
        </w:rPr>
      </w:pPr>
      <w:r>
        <w:rPr>
          <w:rFonts w:ascii="Arial" w:cs="Arial" w:eastAsia="Arial" w:hAnsi="Arial"/>
          <w:sz w:val="16"/>
          <w:szCs w:val="16"/>
          <w:color w:val="auto"/>
        </w:rPr>
        <w:t>“Our first quarter results exceeded our expectations and highlight our team’s ability to be innovative and resilient amongst market conditions. The proactive work we have done to drive consumer centricity has been instrumental in our ability to navigate the ever-evolving regulatory landscape. Our model is aligned with CMS’s intentions to protect consumers, and the work we have done has prepared us well for the current regulations and those likely to come,” said Vijay Kotte, CEO of GoHealth. “Looking ahead, we remain committed to leveraging our insights and technology to further improve the healthcare journey for consumers, ensuring they have the support they need to make informed decisions."</w:t>
      </w:r>
    </w:p>
    <w:p>
      <w:pPr>
        <w:spacing w:after="0" w:line="199" w:lineRule="exact"/>
        <w:rPr>
          <w:sz w:val="20"/>
          <w:szCs w:val="20"/>
          <w:color w:val="auto"/>
        </w:rPr>
      </w:pPr>
    </w:p>
    <w:p>
      <w:pPr>
        <w:ind w:left="20" w:right="520"/>
        <w:spacing w:after="0" w:line="271" w:lineRule="auto"/>
        <w:rPr>
          <w:sz w:val="20"/>
          <w:szCs w:val="20"/>
          <w:color w:val="auto"/>
        </w:rPr>
      </w:pPr>
      <w:r>
        <w:rPr>
          <w:rFonts w:ascii="Arial" w:cs="Arial" w:eastAsia="Arial" w:hAnsi="Arial"/>
          <w:sz w:val="16"/>
          <w:szCs w:val="16"/>
          <w:color w:val="auto"/>
        </w:rPr>
        <w:t>"While we realize that rewarding agents for doing the right thing may not maximize revenue in the short term, we stand by our belief that PlanFit is an investment in the consumer that will pay off long-term,” said Jason Schulz, CFO of GoHealth. “This alignment of improved financial outcomes with our consumer-first philosophy supports our strategic direction. We remain committed to leveraging technology for better healthcare decisions, as we are poised to drive both sustained profitability and positive consumer impact in the years to come."</w:t>
      </w:r>
    </w:p>
    <w:p>
      <w:pPr>
        <w:spacing w:after="0" w:line="200" w:lineRule="exact"/>
        <w:rPr>
          <w:sz w:val="20"/>
          <w:szCs w:val="20"/>
          <w:color w:val="auto"/>
        </w:rPr>
      </w:pPr>
    </w:p>
    <w:p>
      <w:pPr>
        <w:spacing w:after="0" w:line="22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see below.</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62"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0A2299"/>
        </w:rPr>
        <w:t>Conference Call Details</w:t>
      </w:r>
    </w:p>
    <w:p>
      <w:pPr>
        <w:spacing w:after="0" w:line="248"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Company will host a conference call today, Thursday, May 9, 2024 at 8:00 a.m. (ET) to discuss its financial results. A live audio webcast of the conference call will be available via GoHealth's Investor Relations website, https://investors.gohealth.com/. A replay of the call will be available via webcast for on-demand listening shortly after the completion of the call.</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GoHealth is a leading health insurance marketplace and Medicare-focused digital health company whose purpose is to compassionately ensure consumers’ peace of mind when making healthcare decisions so they can focus on living life. For many of these consumers, enrolling in a health insurance plan is confusing and difficult, and seemingly small differences between health plans may lead to significant out-of-pocket costs or lack of access to critical providers and medicines. GoHealth’s proprietary technology platform leverages modern machine-learning algorithms, powered by over two decades of insurance purchasing behavior, to reimagine the process of matching a health plan to a consumer’s specific needs. Its unbiased, technology-driven marketplace coupled with highly skilled licensed agents has facilitated the enrollment of millions of consumers in Medicare plans since GoHealth’s inception. For more information, visit https://www.gohealth.com.</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John Shave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JShave@gohealth.com</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81"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Forward-Looking Statements</w:t>
      </w:r>
    </w:p>
    <w:p>
      <w:pPr>
        <w:spacing w:after="0" w:line="248"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spacing w:after="0" w:line="21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press release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These forward-looking statements speak only as of the date of this press release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2023 (“2023 Annual Report on Form 10-K”) and in our other filings with the Securities and Exchange Commission. The factors described in our 2023 Annual Report on Form 10-K should not be construed as exhaustive and should be read together with the other cautionary statements included in this press release, as well as the cautionary statements and other risk factors set forth in the forthcoming Quarterly Report on Form 10-Q for the first quarter ended March 31, 2024 and our other filings with the Securities and Exchange Commission.</w:t>
      </w:r>
    </w:p>
    <w:p>
      <w:pPr>
        <w:spacing w:after="0" w:line="20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You should read this press release and the documents that we reference in this press release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 and Key Performance Indicators</w:t>
      </w:r>
    </w:p>
    <w:p>
      <w:pPr>
        <w:spacing w:after="0" w:line="24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Condensed Consolidated Financial Statements prepared in accordance with GAAP. These non-GAAP financial measures include net income (loss) before interest expense, income tax (benefit) expense and depreciation and amortization expense, or EBITDA; Adjusted EBITDA; Cash Adjusted EBITDA; Adjusted EBITDA margin; Sales per Submission; Cost per Submission and Adjusted Gross Margin per Submission. Adjusted EBITDA is the primary financial performance measure used by management to evaluate the business and monitor the results of operations. Cash Adjusted EBITDA is used by management to assess Adjusted EBITDA excluding the effect of LTV estimates period over period. Sales per Submission, Cost per Submission and Adjusted Gross Margin per Submission are key operating metrics used by management to understand the Company’s underlying financial performance and trends.</w:t>
      </w:r>
    </w:p>
    <w:p>
      <w:pPr>
        <w:spacing w:after="0" w:line="400"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Additional non-GAAP financial measures, including net revenues excluding the Lookback Adjustments, Adjusted EBITDA excluding the Lookback Adjustments, net revenues excluding both the Non-Encompass BPO Services revenue and the Lookback Adjustments and Adjusted EBITDA excluding both the Non-Encompass BPO Services gross margin and the Lookback Adjustments, are also included in this presentation. The Lookback Adjustments are revenue adjustments that represent changes in estimates relating to performance obligations satisfied in prior periods and relate to fiscal years 2021 and prior.</w:t>
      </w:r>
    </w:p>
    <w:p>
      <w:pPr>
        <w:spacing w:after="0" w:line="19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Adjusted EBITDA represents, as applicable for the period, EBITDA as further adjusted for certain items summarized in the table below. Adjusted EBITDA margin represents Adjusted EBITDA divided by net revenues. Cash Adjusted EBITDA represents Adjusted EBITDA plus a decrease or less an increase in the period over period change in our net contract assets. Sales per Submission represents Medicare Revenue per Submission as further adjusted for certain items summarized in the table furnished below in this press release. Cost per Submission represents Operating Expense per Submission as further adjusted for certain items summarized in the table furnished below in this press release. Adjusted Gross Margin represents Sales per Submission less Cost per Submission.</w:t>
      </w:r>
    </w:p>
    <w:p>
      <w:pPr>
        <w:spacing w:after="0" w:line="217"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881" w:right="339" w:bottom="1440" w:gutter="0" w:footer="0" w:header="0"/>
          <w:type w:val="continuous"/>
        </w:sectPr>
      </w:pPr>
    </w:p>
    <w:bookmarkStart w:id="6" w:name="page7"/>
    <w:bookmarkEnd w:id="6"/>
    <w:p>
      <w:pPr>
        <w:ind w:right="80"/>
        <w:spacing w:after="0" w:line="265" w:lineRule="auto"/>
        <w:rPr>
          <w:sz w:val="20"/>
          <w:szCs w:val="20"/>
          <w:color w:val="auto"/>
        </w:rPr>
      </w:pPr>
      <w:r>
        <w:rPr>
          <w:rFonts w:ascii="Arial" w:cs="Arial" w:eastAsia="Arial" w:hAnsi="Arial"/>
          <w:sz w:val="16"/>
          <w:szCs w:val="16"/>
          <w:color w:val="auto"/>
        </w:rPr>
        <w:t>basis for certain compensation programs sponsored by the Company.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1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the most directly comparable measures prepared in accordance with GAAP, and should be read only in conjunction with financial information presented on a GAAP basis. Reconciliations of each of EBITDA, Adjusted EBITDA, Cash Adjusted EBITDA, Sales per Submission, Cost per Submission and Adjusted Gross Margin per Submission to its most directly comparable GAAP financial measure, are presented in the tables furnished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Key Terms and Performance Indicators; Non-GAAP Financial Measures</w:t>
      </w:r>
    </w:p>
    <w:p>
      <w:pPr>
        <w:spacing w:after="0" w:line="24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Throughout this press release, we use a number of key terms and provide a number of key performance indicators used by management. We define these terms and key performance indicators as follows:</w:t>
      </w:r>
    </w:p>
    <w:p>
      <w:pPr>
        <w:spacing w:after="0" w:line="168"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w:t>
      </w:r>
      <w:r>
        <w:rPr>
          <w:rFonts w:ascii="Arial" w:cs="Arial" w:eastAsia="Arial" w:hAnsi="Arial"/>
          <w:sz w:val="16"/>
          <w:szCs w:val="16"/>
          <w:color w:val="auto"/>
        </w:rPr>
        <w:t>” represents, as applicable for the period, EBITDA as further adjusted for certain items summarized below in this press release.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 Margin</w:t>
      </w:r>
      <w:r>
        <w:rPr>
          <w:rFonts w:ascii="Arial" w:cs="Arial" w:eastAsia="Arial" w:hAnsi="Arial"/>
          <w:sz w:val="16"/>
          <w:szCs w:val="16"/>
          <w:color w:val="auto"/>
        </w:rPr>
        <w:t>” refers to Adjusted EBITDA divided by net revenues.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Gross Margin per Submission</w:t>
      </w:r>
      <w:r>
        <w:rPr>
          <w:rFonts w:ascii="Arial" w:cs="Arial" w:eastAsia="Arial" w:hAnsi="Arial"/>
          <w:sz w:val="16"/>
          <w:szCs w:val="16"/>
          <w:color w:val="auto"/>
        </w:rPr>
        <w:t>” refers to Sales per Submission less Cost per Submission.</w:t>
      </w:r>
    </w:p>
    <w:p>
      <w:pPr>
        <w:spacing w:after="0" w:line="248" w:lineRule="exact"/>
        <w:rPr>
          <w:rFonts w:ascii="Arial" w:cs="Arial" w:eastAsia="Arial" w:hAnsi="Arial"/>
          <w:sz w:val="16"/>
          <w:szCs w:val="16"/>
          <w:color w:val="auto"/>
        </w:rPr>
      </w:pPr>
    </w:p>
    <w:p>
      <w:pPr>
        <w:ind w:left="660" w:right="560" w:hanging="328"/>
        <w:spacing w:after="0" w:line="304" w:lineRule="auto"/>
        <w:tabs>
          <w:tab w:leader="none" w:pos="649"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“Cash Adjusted EBITDA” </w:t>
      </w:r>
      <w:r>
        <w:rPr>
          <w:rFonts w:ascii="Arial" w:cs="Arial" w:eastAsia="Arial" w:hAnsi="Arial"/>
          <w:sz w:val="16"/>
          <w:szCs w:val="16"/>
          <w:color w:val="auto"/>
        </w:rPr>
        <w:t>refers to Adjusted EBITDA plus a decrease or less an increase in the period over period change in our net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assets.</w:t>
      </w:r>
    </w:p>
    <w:p>
      <w:pPr>
        <w:spacing w:after="0" w:line="168" w:lineRule="exact"/>
        <w:rPr>
          <w:rFonts w:ascii="Arial" w:cs="Arial" w:eastAsia="Arial" w:hAnsi="Arial"/>
          <w:sz w:val="16"/>
          <w:szCs w:val="16"/>
          <w:i w:val="1"/>
          <w:iCs w:val="1"/>
          <w:color w:val="auto"/>
        </w:rPr>
      </w:pPr>
    </w:p>
    <w:p>
      <w:pPr>
        <w:ind w:left="660" w:right="2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Cost of Submission</w:t>
      </w:r>
      <w:r>
        <w:rPr>
          <w:rFonts w:ascii="Arial" w:cs="Arial" w:eastAsia="Arial" w:hAnsi="Arial"/>
          <w:sz w:val="16"/>
          <w:szCs w:val="16"/>
          <w:color w:val="auto"/>
        </w:rPr>
        <w:t>” refers to the aggregate cost to convert prospects into Submissions during a particular period. Cost of Submission is comprised of revenue share, marketing and advertising expenses and consumer care and enrollment expenses, excluding share-based compensation expense, the impact of revenue adjustments recorded in the period, but relating to performance obligations satisfied in prior periods and such expenses related to Non-Encompass BPO Services.</w:t>
      </w:r>
    </w:p>
    <w:p>
      <w:pPr>
        <w:spacing w:after="0" w:line="213" w:lineRule="exact"/>
        <w:rPr>
          <w:rFonts w:ascii="Arial" w:cs="Arial" w:eastAsia="Arial" w:hAnsi="Arial"/>
          <w:sz w:val="16"/>
          <w:szCs w:val="16"/>
          <w:color w:val="auto"/>
        </w:rPr>
      </w:pPr>
    </w:p>
    <w:p>
      <w:pPr>
        <w:ind w:left="660" w:right="240" w:hanging="328"/>
        <w:spacing w:after="0" w:line="266" w:lineRule="auto"/>
        <w:tabs>
          <w:tab w:leader="none" w:pos="649" w:val="left"/>
        </w:tabs>
        <w:numPr>
          <w:ilvl w:val="0"/>
          <w:numId w:val="6"/>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Cost per Submission</w:t>
      </w:r>
      <w:r>
        <w:rPr>
          <w:rFonts w:ascii="Arial" w:cs="Arial" w:eastAsia="Arial" w:hAnsi="Arial"/>
          <w:sz w:val="16"/>
          <w:szCs w:val="16"/>
          <w:color w:val="auto"/>
        </w:rPr>
        <w:t>” refers to (x) the aggregate cost to convert prospects into Submissions for a particular period (comprised of revenue share, marketing and advertising expenses and consumer care and enrollment expenses, excluding share-based compensation expense and such expenses related to Non-Encompass BPO Services) divided by (y) the number of Submissions for such period.</w:t>
      </w:r>
    </w:p>
    <w:p>
      <w:pPr>
        <w:spacing w:after="0" w:line="211" w:lineRule="exact"/>
        <w:rPr>
          <w:rFonts w:ascii="Arial" w:cs="Arial" w:eastAsia="Arial" w:hAnsi="Arial"/>
          <w:sz w:val="16"/>
          <w:szCs w:val="16"/>
          <w:i w:val="1"/>
          <w:iCs w:val="1"/>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represents net income (loss) before interest expense, income tax expense (benefit) and depreciation and amortization expense.</w:t>
      </w:r>
    </w:p>
    <w:p>
      <w:pPr>
        <w:spacing w:after="0" w:line="248" w:lineRule="exact"/>
        <w:rPr>
          <w:rFonts w:ascii="Arial" w:cs="Arial" w:eastAsia="Arial" w:hAnsi="Arial"/>
          <w:sz w:val="16"/>
          <w:szCs w:val="16"/>
          <w:color w:val="auto"/>
        </w:rPr>
      </w:pPr>
    </w:p>
    <w:p>
      <w:pPr>
        <w:jc w:val="both"/>
        <w:ind w:left="660" w:right="140" w:hanging="328"/>
        <w:spacing w:after="0" w:line="275" w:lineRule="auto"/>
        <w:tabs>
          <w:tab w:leader="none" w:pos="649"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“LTV” </w:t>
      </w:r>
      <w:r>
        <w:rPr>
          <w:rFonts w:ascii="Arial" w:cs="Arial" w:eastAsia="Arial" w:hAnsi="Arial"/>
          <w:sz w:val="16"/>
          <w:szCs w:val="16"/>
          <w:color w:val="auto"/>
        </w:rPr>
        <w:t>refers to the Lifetime Value of Commissions, which we define as aggregate commissions estimated to be collected over the estimated life of</w:t>
      </w:r>
      <w:r>
        <w:rPr>
          <w:rFonts w:ascii="Arial" w:cs="Arial" w:eastAsia="Arial" w:hAnsi="Arial"/>
          <w:sz w:val="16"/>
          <w:szCs w:val="16"/>
          <w:i w:val="1"/>
          <w:iCs w:val="1"/>
          <w:color w:val="auto"/>
        </w:rPr>
        <w:t xml:space="preserve"> </w:t>
      </w:r>
      <w:r>
        <w:rPr>
          <w:rFonts w:ascii="Arial" w:cs="Arial" w:eastAsia="Arial" w:hAnsi="Arial"/>
          <w:sz w:val="16"/>
          <w:szCs w:val="16"/>
          <w:color w:val="auto"/>
        </w:rPr>
        <w:t>all commissionable Submissions for the relevant period based on multiple factors, including but not limited to, contracted commission rates, health plan partner mix and expected policy persistency with applied constraints.</w:t>
      </w:r>
    </w:p>
    <w:p>
      <w:pPr>
        <w:spacing w:after="0" w:line="191" w:lineRule="exact"/>
        <w:rPr>
          <w:rFonts w:ascii="Arial" w:cs="Arial" w:eastAsia="Arial" w:hAnsi="Arial"/>
          <w:sz w:val="16"/>
          <w:szCs w:val="16"/>
          <w:i w:val="1"/>
          <w:iCs w:val="1"/>
          <w:color w:val="auto"/>
        </w:rPr>
      </w:pPr>
    </w:p>
    <w:p>
      <w:pPr>
        <w:ind w:left="660" w:right="380" w:hanging="328"/>
        <w:spacing w:after="0" w:line="304" w:lineRule="auto"/>
        <w:tabs>
          <w:tab w:leader="none" w:pos="649"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“Non-Encompass BPO Services” </w:t>
      </w:r>
      <w:r>
        <w:rPr>
          <w:rFonts w:ascii="Arial" w:cs="Arial" w:eastAsia="Arial" w:hAnsi="Arial"/>
          <w:sz w:val="16"/>
          <w:szCs w:val="16"/>
          <w:color w:val="auto"/>
        </w:rPr>
        <w:t>refer to programs in which GoHealth-employed agents are dedicated to certain health plans and agencies we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with outside of the Encompass operating model.</w:t>
      </w:r>
    </w:p>
    <w:p>
      <w:pPr>
        <w:spacing w:after="0" w:line="168" w:lineRule="exact"/>
        <w:rPr>
          <w:rFonts w:ascii="Arial" w:cs="Arial" w:eastAsia="Arial" w:hAnsi="Arial"/>
          <w:sz w:val="16"/>
          <w:szCs w:val="16"/>
          <w:i w:val="1"/>
          <w:iCs w:val="1"/>
          <w:color w:val="auto"/>
        </w:rPr>
      </w:pPr>
    </w:p>
    <w:p>
      <w:pPr>
        <w:ind w:left="660" w:right="40" w:hanging="328"/>
        <w:spacing w:after="0" w:line="265" w:lineRule="auto"/>
        <w:tabs>
          <w:tab w:leader="none" w:pos="649"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“Sales per Submission” </w:t>
      </w:r>
      <w:r>
        <w:rPr>
          <w:rFonts w:ascii="Arial" w:cs="Arial" w:eastAsia="Arial" w:hAnsi="Arial"/>
          <w:sz w:val="16"/>
          <w:szCs w:val="16"/>
          <w:color w:val="auto"/>
        </w:rPr>
        <w:t>refers to (x) the sum of (i) aggregate commissions estimated to be collected over the estimated life of all commissionable</w:t>
      </w:r>
      <w:r>
        <w:rPr>
          <w:rFonts w:ascii="Arial" w:cs="Arial" w:eastAsia="Arial" w:hAnsi="Arial"/>
          <w:sz w:val="16"/>
          <w:szCs w:val="16"/>
          <w:i w:val="1"/>
          <w:iCs w:val="1"/>
          <w:color w:val="auto"/>
        </w:rPr>
        <w:t xml:space="preserve"> </w:t>
      </w:r>
      <w:r>
        <w:rPr>
          <w:rFonts w:ascii="Arial" w:cs="Arial" w:eastAsia="Arial" w:hAnsi="Arial"/>
          <w:sz w:val="16"/>
          <w:szCs w:val="16"/>
          <w:color w:val="auto"/>
        </w:rPr>
        <w:t>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non-agency revenue, and (iii) partner marketing and other revenue, divided by (y) the number of Submissions for such period.</w:t>
      </w:r>
    </w:p>
    <w:p>
      <w:pPr>
        <w:spacing w:after="0" w:line="199" w:lineRule="exact"/>
        <w:rPr>
          <w:rFonts w:ascii="Arial" w:cs="Arial" w:eastAsia="Arial" w:hAnsi="Arial"/>
          <w:sz w:val="16"/>
          <w:szCs w:val="16"/>
          <w:i w:val="1"/>
          <w:iCs w:val="1"/>
          <w:color w:val="auto"/>
        </w:rPr>
      </w:pPr>
    </w:p>
    <w:p>
      <w:pPr>
        <w:ind w:left="660" w:right="200" w:hanging="328"/>
        <w:spacing w:after="0" w:line="259" w:lineRule="auto"/>
        <w:tabs>
          <w:tab w:leader="none" w:pos="649"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“Sales/Cost of Submission” </w:t>
      </w:r>
      <w:r>
        <w:rPr>
          <w:rFonts w:ascii="Arial" w:cs="Arial" w:eastAsia="Arial" w:hAnsi="Arial"/>
          <w:sz w:val="16"/>
          <w:szCs w:val="16"/>
          <w:color w:val="auto"/>
        </w:rPr>
        <w:t>refers to (x) the sum of (i) aggregate commissions estimated to be collected over the estimated life of all</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non-agency revenue and (iii) partner marketing and other revenue, divided by (y) the aggregate cost to convert prospects into Submissions (comprised of revenue share, marketing and advertising expenses and consumer care and enrollment expenses, excluding share-based compensation expense) for such period. Sales and Cost of Submission exclude amounts related to Non-Encompass BPO Services.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773" w:right="339" w:bottom="1440" w:gutter="0" w:footer="0" w:header="0"/>
        </w:sectPr>
      </w:pPr>
    </w:p>
    <w:bookmarkStart w:id="7" w:name="page8"/>
    <w:bookmarkEnd w:id="7"/>
    <w:p>
      <w:pPr>
        <w:ind w:left="328" w:right="80" w:hanging="328"/>
        <w:spacing w:after="0" w:line="275" w:lineRule="auto"/>
        <w:tabs>
          <w:tab w:leader="none" w:pos="317"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“Submission” </w:t>
      </w:r>
      <w:r>
        <w:rPr>
          <w:rFonts w:ascii="Arial" w:cs="Arial" w:eastAsia="Arial" w:hAnsi="Arial"/>
          <w:sz w:val="16"/>
          <w:szCs w:val="16"/>
          <w:color w:val="auto"/>
        </w:rPr>
        <w:t>refers to either (i) a completed application with our licensed agent that is submitted to the health plan partner and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the health plan partner during the indicated period, excluding applications through our Non-Encompass BPO Services or (ii) a transfer by our agent to the health plan partner through the Encompass operating model during the indicated period.</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08"/>
          </w:cols>
          <w:pgMar w:left="652" w:top="773"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Mar. 31,</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40" w:type="dxa"/>
            <w:vAlign w:val="bottom"/>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1080" w:type="dxa"/>
            <w:vAlign w:val="bottom"/>
            <w:tcBorders>
              <w:bottom w:val="single" w:sz="8" w:color="B6B6B6"/>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940" w:type="dxa"/>
            <w:vAlign w:val="bottom"/>
            <w:tcBorders>
              <w:bottom w:val="single" w:sz="8" w:color="B6B6B6"/>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bottom w:val="single" w:sz="8" w:color="B6B6B6"/>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44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 and per share amounts)</w:t>
            </w:r>
          </w:p>
        </w:tc>
        <w:tc>
          <w:tcPr>
            <w:tcW w:w="100" w:type="dxa"/>
            <w:vAlign w:val="bottom"/>
            <w:shd w:val="clear" w:color="auto" w:fill="929292"/>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Dollars</w:t>
            </w:r>
          </w:p>
        </w:tc>
        <w:tc>
          <w:tcPr>
            <w:tcW w:w="10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 of Net</w:t>
            </w:r>
          </w:p>
        </w:tc>
        <w:tc>
          <w:tcPr>
            <w:tcW w:w="180" w:type="dxa"/>
            <w:vAlign w:val="bottom"/>
          </w:tcPr>
          <w:p>
            <w:pPr>
              <w:spacing w:after="0"/>
              <w:rPr>
                <w:sz w:val="12"/>
                <w:szCs w:val="12"/>
                <w:color w:val="auto"/>
              </w:rPr>
            </w:pPr>
          </w:p>
        </w:tc>
        <w:tc>
          <w:tcPr>
            <w:tcW w:w="11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Dollars</w:t>
            </w:r>
          </w:p>
        </w:tc>
        <w:tc>
          <w:tcPr>
            <w:tcW w:w="10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9"/>
              </w:rPr>
              <w:t>% of Net</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4440" w:type="dxa"/>
            <w:vAlign w:val="bottom"/>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tcBorders>
              <w:top w:val="single" w:sz="8" w:color="B6B6B6"/>
            </w:tcBorders>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tcBorders>
              <w:top w:val="single" w:sz="8" w:color="B6B6B6"/>
            </w:tcBorders>
            <w:shd w:val="clear" w:color="auto" w:fill="929292"/>
          </w:tcPr>
          <w:p>
            <w:pPr>
              <w:spacing w:after="0"/>
              <w:rPr>
                <w:sz w:val="16"/>
                <w:szCs w:val="16"/>
                <w:color w:val="auto"/>
              </w:rPr>
            </w:pPr>
          </w:p>
        </w:tc>
        <w:tc>
          <w:tcPr>
            <w:tcW w:w="18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B6B6B6"/>
            </w:tcBorders>
          </w:tcPr>
          <w:p>
            <w:pPr>
              <w:jc w:val="right"/>
              <w:ind w:right="108"/>
              <w:spacing w:after="0"/>
              <w:rPr>
                <w:sz w:val="20"/>
                <w:szCs w:val="20"/>
                <w:color w:val="auto"/>
              </w:rPr>
            </w:pPr>
            <w:r>
              <w:rPr>
                <w:rFonts w:ascii="Arial" w:cs="Arial" w:eastAsia="Arial" w:hAnsi="Arial"/>
                <w:sz w:val="14"/>
                <w:szCs w:val="14"/>
                <w:color w:val="auto"/>
              </w:rPr>
              <w:t>185,600</w:t>
            </w:r>
          </w:p>
        </w:tc>
        <w:tc>
          <w:tcPr>
            <w:tcW w:w="100" w:type="dxa"/>
            <w:vAlign w:val="bottom"/>
          </w:tcPr>
          <w:p>
            <w:pPr>
              <w:spacing w:after="0"/>
              <w:rPr>
                <w:sz w:val="16"/>
                <w:szCs w:val="16"/>
                <w:color w:val="auto"/>
              </w:rPr>
            </w:pPr>
          </w:p>
        </w:tc>
        <w:tc>
          <w:tcPr>
            <w:tcW w:w="120" w:type="dxa"/>
            <w:vAlign w:val="bottom"/>
            <w:tcBorders>
              <w:top w:val="single" w:sz="8" w:color="B6B6B6"/>
            </w:tcBorders>
          </w:tcPr>
          <w:p>
            <w:pPr>
              <w:spacing w:after="0"/>
              <w:rPr>
                <w:sz w:val="16"/>
                <w:szCs w:val="16"/>
                <w:color w:val="auto"/>
              </w:rPr>
            </w:pPr>
          </w:p>
        </w:tc>
        <w:tc>
          <w:tcPr>
            <w:tcW w:w="9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6"/>
                <w:szCs w:val="16"/>
                <w:color w:val="auto"/>
              </w:rPr>
            </w:pPr>
          </w:p>
        </w:tc>
        <w:tc>
          <w:tcPr>
            <w:tcW w:w="18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B6B6B6"/>
            </w:tcBorders>
          </w:tcPr>
          <w:p>
            <w:pPr>
              <w:jc w:val="right"/>
              <w:ind w:right="128"/>
              <w:spacing w:after="0"/>
              <w:rPr>
                <w:sz w:val="20"/>
                <w:szCs w:val="20"/>
                <w:color w:val="auto"/>
              </w:rPr>
            </w:pPr>
            <w:r>
              <w:rPr>
                <w:rFonts w:ascii="Arial" w:cs="Arial" w:eastAsia="Arial" w:hAnsi="Arial"/>
                <w:sz w:val="14"/>
                <w:szCs w:val="14"/>
                <w:color w:val="auto"/>
              </w:rPr>
              <w:t>183,158</w:t>
            </w:r>
          </w:p>
        </w:tc>
        <w:tc>
          <w:tcPr>
            <w:tcW w:w="80" w:type="dxa"/>
            <w:vAlign w:val="bottom"/>
          </w:tcPr>
          <w:p>
            <w:pPr>
              <w:spacing w:after="0"/>
              <w:rPr>
                <w:sz w:val="16"/>
                <w:szCs w:val="16"/>
                <w:color w:val="auto"/>
              </w:rPr>
            </w:pPr>
          </w:p>
        </w:tc>
        <w:tc>
          <w:tcPr>
            <w:tcW w:w="160" w:type="dxa"/>
            <w:vAlign w:val="bottom"/>
            <w:tcBorders>
              <w:top w:val="single" w:sz="8" w:color="B6B6B6"/>
            </w:tcBorders>
          </w:tcPr>
          <w:p>
            <w:pPr>
              <w:spacing w:after="0"/>
              <w:rPr>
                <w:sz w:val="16"/>
                <w:szCs w:val="16"/>
                <w:color w:val="auto"/>
              </w:rPr>
            </w:pPr>
          </w:p>
        </w:tc>
        <w:tc>
          <w:tcPr>
            <w:tcW w:w="9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6"/>
                <w:szCs w:val="16"/>
                <w:color w:val="auto"/>
              </w:rPr>
            </w:pPr>
          </w:p>
        </w:tc>
        <w:tc>
          <w:tcPr>
            <w:tcW w:w="1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2,442</w:t>
            </w:r>
          </w:p>
        </w:tc>
        <w:tc>
          <w:tcPr>
            <w:tcW w:w="100" w:type="dxa"/>
            <w:vAlign w:val="bottom"/>
          </w:tcPr>
          <w:p>
            <w:pPr>
              <w:spacing w:after="0"/>
              <w:rPr>
                <w:sz w:val="16"/>
                <w:szCs w:val="16"/>
                <w:color w:val="auto"/>
              </w:rPr>
            </w:pPr>
          </w:p>
        </w:tc>
        <w:tc>
          <w:tcPr>
            <w:tcW w:w="10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0" w:type="dxa"/>
            <w:vAlign w:val="bottom"/>
            <w:shd w:val="clear" w:color="auto" w:fill="929292"/>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Revenue share</w:t>
            </w:r>
          </w:p>
        </w:tc>
        <w:tc>
          <w:tcPr>
            <w:tcW w:w="100" w:type="dxa"/>
            <w:vAlign w:val="bottom"/>
            <w:shd w:val="clear" w:color="auto" w:fill="929292"/>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38,013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45,462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24.8 %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(7,449)</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2"/>
        </w:trPr>
        <w:tc>
          <w:tcPr>
            <w:tcW w:w="444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52,775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45,743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7,032</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15.4 %</w:t>
            </w: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Consumer care and enrollment</w:t>
            </w:r>
          </w:p>
        </w:tc>
        <w:tc>
          <w:tcPr>
            <w:tcW w:w="100" w:type="dxa"/>
            <w:vAlign w:val="bottom"/>
            <w:shd w:val="clear" w:color="auto" w:fill="929292"/>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47,861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42,027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22.9 %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5,834</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13.9 %</w:t>
            </w: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10,550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9,543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1,007</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10.6 %</w:t>
            </w: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929292"/>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16,919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22,618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12.3 %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(5,699)</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04"/>
        </w:trPr>
        <w:tc>
          <w:tcPr>
            <w:tcW w:w="444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929292"/>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23,514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23,514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12.8 %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44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180" w:type="dxa"/>
            <w:vAlign w:val="bottom"/>
            <w:tcBorders>
              <w:top w:val="single" w:sz="8" w:color="B6B6B6"/>
              <w:bottom w:val="single" w:sz="8" w:color="B6B6B6"/>
            </w:tcBorders>
          </w:tcPr>
          <w:p>
            <w:pPr>
              <w:spacing w:after="0"/>
              <w:rPr>
                <w:sz w:val="17"/>
                <w:szCs w:val="17"/>
                <w:color w:val="auto"/>
              </w:rPr>
            </w:pPr>
          </w:p>
        </w:tc>
        <w:tc>
          <w:tcPr>
            <w:tcW w:w="860" w:type="dxa"/>
            <w:vAlign w:val="bottom"/>
            <w:tcBorders>
              <w:top w:val="single" w:sz="8" w:color="B6B6B6"/>
              <w:bottom w:val="single" w:sz="8" w:color="B6B6B6"/>
            </w:tcBorders>
          </w:tcPr>
          <w:p>
            <w:pPr>
              <w:jc w:val="right"/>
              <w:ind w:right="108"/>
              <w:spacing w:after="0"/>
              <w:rPr>
                <w:sz w:val="20"/>
                <w:szCs w:val="20"/>
                <w:color w:val="auto"/>
              </w:rPr>
            </w:pPr>
            <w:r>
              <w:rPr>
                <w:rFonts w:ascii="Arial" w:cs="Arial" w:eastAsia="Arial" w:hAnsi="Arial"/>
                <w:sz w:val="14"/>
                <w:szCs w:val="14"/>
                <w:color w:val="auto"/>
              </w:rPr>
              <w:t>189,632</w:t>
            </w:r>
          </w:p>
        </w:tc>
        <w:tc>
          <w:tcPr>
            <w:tcW w:w="100" w:type="dxa"/>
            <w:vAlign w:val="bottom"/>
          </w:tcPr>
          <w:p>
            <w:pPr>
              <w:spacing w:after="0"/>
              <w:rPr>
                <w:sz w:val="17"/>
                <w:szCs w:val="17"/>
                <w:color w:val="auto"/>
              </w:rPr>
            </w:pPr>
          </w:p>
        </w:tc>
        <w:tc>
          <w:tcPr>
            <w:tcW w:w="120" w:type="dxa"/>
            <w:vAlign w:val="bottom"/>
            <w:tcBorders>
              <w:top w:val="single" w:sz="8" w:color="B6B6B6"/>
              <w:bottom w:val="single" w:sz="8" w:color="B6B6B6"/>
            </w:tcBorders>
          </w:tcPr>
          <w:p>
            <w:pPr>
              <w:spacing w:after="0"/>
              <w:rPr>
                <w:sz w:val="17"/>
                <w:szCs w:val="17"/>
                <w:color w:val="auto"/>
              </w:rPr>
            </w:pPr>
          </w:p>
        </w:tc>
        <w:tc>
          <w:tcPr>
            <w:tcW w:w="94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102.2 %</w:t>
            </w:r>
          </w:p>
        </w:tc>
        <w:tc>
          <w:tcPr>
            <w:tcW w:w="100" w:type="dxa"/>
            <w:vAlign w:val="bottom"/>
          </w:tcPr>
          <w:p>
            <w:pPr>
              <w:spacing w:after="0"/>
              <w:rPr>
                <w:sz w:val="17"/>
                <w:szCs w:val="17"/>
                <w:color w:val="auto"/>
              </w:rPr>
            </w:pPr>
          </w:p>
        </w:tc>
        <w:tc>
          <w:tcPr>
            <w:tcW w:w="180" w:type="dxa"/>
            <w:vAlign w:val="bottom"/>
            <w:tcBorders>
              <w:top w:val="single" w:sz="8" w:color="B6B6B6"/>
              <w:bottom w:val="single" w:sz="8" w:color="B6B6B6"/>
            </w:tcBorders>
          </w:tcPr>
          <w:p>
            <w:pPr>
              <w:spacing w:after="0"/>
              <w:rPr>
                <w:sz w:val="17"/>
                <w:szCs w:val="17"/>
                <w:color w:val="auto"/>
              </w:rPr>
            </w:pPr>
          </w:p>
        </w:tc>
        <w:tc>
          <w:tcPr>
            <w:tcW w:w="880" w:type="dxa"/>
            <w:vAlign w:val="bottom"/>
            <w:tcBorders>
              <w:top w:val="single" w:sz="8" w:color="B6B6B6"/>
              <w:bottom w:val="single" w:sz="8" w:color="B6B6B6"/>
            </w:tcBorders>
          </w:tcPr>
          <w:p>
            <w:pPr>
              <w:jc w:val="right"/>
              <w:ind w:right="128"/>
              <w:spacing w:after="0"/>
              <w:rPr>
                <w:sz w:val="20"/>
                <w:szCs w:val="20"/>
                <w:color w:val="auto"/>
              </w:rPr>
            </w:pPr>
            <w:r>
              <w:rPr>
                <w:rFonts w:ascii="Arial" w:cs="Arial" w:eastAsia="Arial" w:hAnsi="Arial"/>
                <w:sz w:val="14"/>
                <w:szCs w:val="14"/>
                <w:color w:val="auto"/>
              </w:rPr>
              <w:t>188,907</w:t>
            </w:r>
          </w:p>
        </w:tc>
        <w:tc>
          <w:tcPr>
            <w:tcW w:w="80" w:type="dxa"/>
            <w:vAlign w:val="bottom"/>
          </w:tcPr>
          <w:p>
            <w:pPr>
              <w:spacing w:after="0"/>
              <w:rPr>
                <w:sz w:val="17"/>
                <w:szCs w:val="17"/>
                <w:color w:val="auto"/>
              </w:rPr>
            </w:pPr>
          </w:p>
        </w:tc>
        <w:tc>
          <w:tcPr>
            <w:tcW w:w="160" w:type="dxa"/>
            <w:vAlign w:val="bottom"/>
            <w:tcBorders>
              <w:top w:val="single" w:sz="8" w:color="B6B6B6"/>
              <w:bottom w:val="single" w:sz="8" w:color="B6B6B6"/>
            </w:tcBorders>
          </w:tcPr>
          <w:p>
            <w:pPr>
              <w:spacing w:after="0"/>
              <w:rPr>
                <w:sz w:val="17"/>
                <w:szCs w:val="17"/>
                <w:color w:val="auto"/>
              </w:rPr>
            </w:pPr>
          </w:p>
        </w:tc>
        <w:tc>
          <w:tcPr>
            <w:tcW w:w="9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103.1 %</w:t>
            </w:r>
          </w:p>
        </w:tc>
        <w:tc>
          <w:tcPr>
            <w:tcW w:w="80" w:type="dxa"/>
            <w:vAlign w:val="bottom"/>
          </w:tcPr>
          <w:p>
            <w:pPr>
              <w:spacing w:after="0"/>
              <w:rPr>
                <w:sz w:val="17"/>
                <w:szCs w:val="17"/>
                <w:color w:val="auto"/>
              </w:rPr>
            </w:pPr>
          </w:p>
        </w:tc>
        <w:tc>
          <w:tcPr>
            <w:tcW w:w="120" w:type="dxa"/>
            <w:vAlign w:val="bottom"/>
            <w:tcBorders>
              <w:top w:val="single" w:sz="8" w:color="B6B6B6"/>
              <w:bottom w:val="single" w:sz="8" w:color="B6B6B6"/>
            </w:tcBorders>
          </w:tcPr>
          <w:p>
            <w:pPr>
              <w:spacing w:after="0"/>
              <w:rPr>
                <w:sz w:val="17"/>
                <w:szCs w:val="17"/>
                <w:color w:val="auto"/>
              </w:rPr>
            </w:pPr>
          </w:p>
        </w:tc>
        <w:tc>
          <w:tcPr>
            <w:tcW w:w="8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7"/>
                <w:szCs w:val="17"/>
                <w:color w:val="auto"/>
              </w:rPr>
            </w:pPr>
          </w:p>
        </w:tc>
        <w:tc>
          <w:tcPr>
            <w:tcW w:w="104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r>
        <w:trPr>
          <w:trHeight w:val="194"/>
        </w:trPr>
        <w:tc>
          <w:tcPr>
            <w:tcW w:w="444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929292"/>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(4,032)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(5,749)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1,717</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17,951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16,891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6.3 %</w:t>
            </w:r>
          </w:p>
        </w:tc>
        <w:tc>
          <w:tcPr>
            <w:tcW w:w="0" w:type="dxa"/>
            <w:vAlign w:val="bottom"/>
          </w:tcPr>
          <w:p>
            <w:pPr>
              <w:spacing w:after="0"/>
              <w:rPr>
                <w:sz w:val="1"/>
                <w:szCs w:val="1"/>
                <w:color w:val="auto"/>
              </w:rPr>
            </w:pPr>
          </w:p>
        </w:tc>
      </w:tr>
      <w:tr>
        <w:trPr>
          <w:trHeight w:val="204"/>
        </w:trPr>
        <w:tc>
          <w:tcPr>
            <w:tcW w:w="444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929292"/>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967.9 %</w:t>
            </w:r>
          </w:p>
        </w:tc>
        <w:tc>
          <w:tcPr>
            <w:tcW w:w="0" w:type="dxa"/>
            <w:vAlign w:val="bottom"/>
          </w:tcPr>
          <w:p>
            <w:pPr>
              <w:spacing w:after="0"/>
              <w:rPr>
                <w:sz w:val="1"/>
                <w:szCs w:val="1"/>
                <w:color w:val="auto"/>
              </w:rPr>
            </w:pPr>
          </w:p>
        </w:tc>
      </w:tr>
      <w:tr>
        <w:trPr>
          <w:trHeight w:val="196"/>
        </w:trPr>
        <w:tc>
          <w:tcPr>
            <w:tcW w:w="444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180" w:type="dxa"/>
            <w:vAlign w:val="bottom"/>
            <w:tcBorders>
              <w:top w:val="single" w:sz="8" w:color="B6B6B6"/>
              <w:bottom w:val="single" w:sz="8" w:color="B6B6B6"/>
            </w:tcBorders>
          </w:tcPr>
          <w:p>
            <w:pPr>
              <w:spacing w:after="0"/>
              <w:rPr>
                <w:sz w:val="17"/>
                <w:szCs w:val="17"/>
                <w:color w:val="auto"/>
              </w:rPr>
            </w:pPr>
          </w:p>
        </w:tc>
        <w:tc>
          <w:tcPr>
            <w:tcW w:w="860" w:type="dxa"/>
            <w:vAlign w:val="bottom"/>
            <w:tcBorders>
              <w:top w:val="single" w:sz="8" w:color="B6B6B6"/>
              <w:bottom w:val="single" w:sz="8" w:color="B6B6B6"/>
            </w:tcBorders>
          </w:tcPr>
          <w:p>
            <w:pPr>
              <w:jc w:val="right"/>
              <w:ind w:right="68"/>
              <w:spacing w:after="0"/>
              <w:rPr>
                <w:sz w:val="20"/>
                <w:szCs w:val="20"/>
                <w:color w:val="auto"/>
              </w:rPr>
            </w:pPr>
            <w:r>
              <w:rPr>
                <w:rFonts w:ascii="Arial" w:cs="Arial" w:eastAsia="Arial" w:hAnsi="Arial"/>
                <w:sz w:val="14"/>
                <w:szCs w:val="14"/>
                <w:color w:val="auto"/>
              </w:rPr>
              <w:t>(21,417)</w:t>
            </w:r>
          </w:p>
        </w:tc>
        <w:tc>
          <w:tcPr>
            <w:tcW w:w="100" w:type="dxa"/>
            <w:vAlign w:val="bottom"/>
          </w:tcPr>
          <w:p>
            <w:pPr>
              <w:spacing w:after="0"/>
              <w:rPr>
                <w:sz w:val="17"/>
                <w:szCs w:val="17"/>
                <w:color w:val="auto"/>
              </w:rPr>
            </w:pPr>
          </w:p>
        </w:tc>
        <w:tc>
          <w:tcPr>
            <w:tcW w:w="120" w:type="dxa"/>
            <w:vAlign w:val="bottom"/>
            <w:tcBorders>
              <w:top w:val="single" w:sz="8" w:color="B6B6B6"/>
              <w:bottom w:val="single" w:sz="8" w:color="B6B6B6"/>
            </w:tcBorders>
          </w:tcPr>
          <w:p>
            <w:pPr>
              <w:spacing w:after="0"/>
              <w:rPr>
                <w:sz w:val="17"/>
                <w:szCs w:val="17"/>
                <w:color w:val="auto"/>
              </w:rPr>
            </w:pPr>
          </w:p>
        </w:tc>
        <w:tc>
          <w:tcPr>
            <w:tcW w:w="94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180" w:type="dxa"/>
            <w:vAlign w:val="bottom"/>
            <w:tcBorders>
              <w:top w:val="single" w:sz="8" w:color="B6B6B6"/>
              <w:bottom w:val="single" w:sz="8" w:color="B6B6B6"/>
            </w:tcBorders>
          </w:tcPr>
          <w:p>
            <w:pPr>
              <w:spacing w:after="0"/>
              <w:rPr>
                <w:sz w:val="17"/>
                <w:szCs w:val="17"/>
                <w:color w:val="auto"/>
              </w:rPr>
            </w:pPr>
          </w:p>
        </w:tc>
        <w:tc>
          <w:tcPr>
            <w:tcW w:w="880" w:type="dxa"/>
            <w:vAlign w:val="bottom"/>
            <w:tcBorders>
              <w:top w:val="single" w:sz="8" w:color="B6B6B6"/>
              <w:bottom w:val="single" w:sz="8" w:color="B6B6B6"/>
            </w:tcBorders>
          </w:tcPr>
          <w:p>
            <w:pPr>
              <w:jc w:val="right"/>
              <w:ind w:right="88"/>
              <w:spacing w:after="0"/>
              <w:rPr>
                <w:sz w:val="20"/>
                <w:szCs w:val="20"/>
                <w:color w:val="auto"/>
              </w:rPr>
            </w:pPr>
            <w:r>
              <w:rPr>
                <w:rFonts w:ascii="Arial" w:cs="Arial" w:eastAsia="Arial" w:hAnsi="Arial"/>
                <w:sz w:val="14"/>
                <w:szCs w:val="14"/>
                <w:color w:val="auto"/>
              </w:rPr>
              <w:t>(22,587)</w:t>
            </w:r>
          </w:p>
        </w:tc>
        <w:tc>
          <w:tcPr>
            <w:tcW w:w="80" w:type="dxa"/>
            <w:vAlign w:val="bottom"/>
          </w:tcPr>
          <w:p>
            <w:pPr>
              <w:spacing w:after="0"/>
              <w:rPr>
                <w:sz w:val="17"/>
                <w:szCs w:val="17"/>
                <w:color w:val="auto"/>
              </w:rPr>
            </w:pPr>
          </w:p>
        </w:tc>
        <w:tc>
          <w:tcPr>
            <w:tcW w:w="160" w:type="dxa"/>
            <w:vAlign w:val="bottom"/>
            <w:tcBorders>
              <w:top w:val="single" w:sz="8" w:color="B6B6B6"/>
              <w:bottom w:val="single" w:sz="8" w:color="B6B6B6"/>
            </w:tcBorders>
          </w:tcPr>
          <w:p>
            <w:pPr>
              <w:spacing w:after="0"/>
              <w:rPr>
                <w:sz w:val="17"/>
                <w:szCs w:val="17"/>
                <w:color w:val="auto"/>
              </w:rPr>
            </w:pPr>
          </w:p>
        </w:tc>
        <w:tc>
          <w:tcPr>
            <w:tcW w:w="9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7"/>
                <w:szCs w:val="17"/>
                <w:color w:val="auto"/>
              </w:rPr>
            </w:pPr>
          </w:p>
        </w:tc>
        <w:tc>
          <w:tcPr>
            <w:tcW w:w="120" w:type="dxa"/>
            <w:vAlign w:val="bottom"/>
            <w:tcBorders>
              <w:top w:val="single" w:sz="8" w:color="B6B6B6"/>
              <w:bottom w:val="single" w:sz="8" w:color="B6B6B6"/>
            </w:tcBorders>
          </w:tcPr>
          <w:p>
            <w:pPr>
              <w:spacing w:after="0"/>
              <w:rPr>
                <w:sz w:val="17"/>
                <w:szCs w:val="17"/>
                <w:color w:val="auto"/>
              </w:rPr>
            </w:pPr>
          </w:p>
        </w:tc>
        <w:tc>
          <w:tcPr>
            <w:tcW w:w="8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1,170</w:t>
            </w:r>
          </w:p>
        </w:tc>
        <w:tc>
          <w:tcPr>
            <w:tcW w:w="100" w:type="dxa"/>
            <w:vAlign w:val="bottom"/>
          </w:tcPr>
          <w:p>
            <w:pPr>
              <w:spacing w:after="0"/>
              <w:rPr>
                <w:sz w:val="17"/>
                <w:szCs w:val="17"/>
                <w:color w:val="auto"/>
              </w:rPr>
            </w:pPr>
          </w:p>
        </w:tc>
        <w:tc>
          <w:tcPr>
            <w:tcW w:w="104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6"/>
        </w:trPr>
        <w:tc>
          <w:tcPr>
            <w:tcW w:w="444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shd w:val="clear" w:color="auto" w:fill="929292"/>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61.4 %</w:t>
            </w:r>
          </w:p>
        </w:tc>
        <w:tc>
          <w:tcPr>
            <w:tcW w:w="0" w:type="dxa"/>
            <w:vAlign w:val="bottom"/>
          </w:tcPr>
          <w:p>
            <w:pPr>
              <w:spacing w:after="0"/>
              <w:rPr>
                <w:sz w:val="1"/>
                <w:szCs w:val="1"/>
                <w:color w:val="auto"/>
              </w:rPr>
            </w:pPr>
          </w:p>
        </w:tc>
      </w:tr>
      <w:tr>
        <w:trPr>
          <w:trHeight w:val="194"/>
        </w:trPr>
        <w:tc>
          <w:tcPr>
            <w:tcW w:w="44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929292"/>
            </w:tcBorders>
            <w:shd w:val="clear" w:color="auto" w:fill="929292"/>
          </w:tcPr>
          <w:p>
            <w:pPr>
              <w:spacing w:after="0"/>
              <w:rPr>
                <w:sz w:val="16"/>
                <w:szCs w:val="16"/>
                <w:color w:val="auto"/>
              </w:rPr>
            </w:pPr>
          </w:p>
        </w:tc>
        <w:tc>
          <w:tcPr>
            <w:tcW w:w="18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B6B6B6"/>
            </w:tcBorders>
          </w:tcPr>
          <w:p>
            <w:pPr>
              <w:jc w:val="right"/>
              <w:ind w:right="68"/>
              <w:spacing w:after="0"/>
              <w:rPr>
                <w:sz w:val="20"/>
                <w:szCs w:val="20"/>
                <w:color w:val="auto"/>
              </w:rPr>
            </w:pPr>
            <w:r>
              <w:rPr>
                <w:rFonts w:ascii="Arial" w:cs="Arial" w:eastAsia="Arial" w:hAnsi="Arial"/>
                <w:sz w:val="14"/>
                <w:szCs w:val="14"/>
                <w:color w:val="auto"/>
              </w:rPr>
              <w:t>(21,346)</w:t>
            </w:r>
          </w:p>
        </w:tc>
        <w:tc>
          <w:tcPr>
            <w:tcW w:w="100" w:type="dxa"/>
            <w:vAlign w:val="bottom"/>
          </w:tcPr>
          <w:p>
            <w:pPr>
              <w:spacing w:after="0"/>
              <w:rPr>
                <w:sz w:val="16"/>
                <w:szCs w:val="16"/>
                <w:color w:val="auto"/>
              </w:rPr>
            </w:pPr>
          </w:p>
        </w:tc>
        <w:tc>
          <w:tcPr>
            <w:tcW w:w="120" w:type="dxa"/>
            <w:vAlign w:val="bottom"/>
            <w:tcBorders>
              <w:top w:val="single" w:sz="8" w:color="B6B6B6"/>
            </w:tcBorders>
          </w:tcPr>
          <w:p>
            <w:pPr>
              <w:spacing w:after="0"/>
              <w:rPr>
                <w:sz w:val="16"/>
                <w:szCs w:val="16"/>
                <w:color w:val="auto"/>
              </w:rPr>
            </w:pPr>
          </w:p>
        </w:tc>
        <w:tc>
          <w:tcPr>
            <w:tcW w:w="9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18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B6B6B6"/>
            </w:tcBorders>
          </w:tcPr>
          <w:p>
            <w:pPr>
              <w:jc w:val="right"/>
              <w:ind w:right="88"/>
              <w:spacing w:after="0"/>
              <w:rPr>
                <w:sz w:val="20"/>
                <w:szCs w:val="20"/>
                <w:color w:val="auto"/>
              </w:rPr>
            </w:pPr>
            <w:r>
              <w:rPr>
                <w:rFonts w:ascii="Arial" w:cs="Arial" w:eastAsia="Arial" w:hAnsi="Arial"/>
                <w:sz w:val="14"/>
                <w:szCs w:val="14"/>
                <w:color w:val="auto"/>
              </w:rPr>
              <w:t>(22,543)</w:t>
            </w:r>
          </w:p>
        </w:tc>
        <w:tc>
          <w:tcPr>
            <w:tcW w:w="80" w:type="dxa"/>
            <w:vAlign w:val="bottom"/>
          </w:tcPr>
          <w:p>
            <w:pPr>
              <w:spacing w:after="0"/>
              <w:rPr>
                <w:sz w:val="16"/>
                <w:szCs w:val="16"/>
                <w:color w:val="auto"/>
              </w:rPr>
            </w:pPr>
          </w:p>
        </w:tc>
        <w:tc>
          <w:tcPr>
            <w:tcW w:w="160" w:type="dxa"/>
            <w:vAlign w:val="bottom"/>
            <w:tcBorders>
              <w:top w:val="single" w:sz="8" w:color="B6B6B6"/>
            </w:tcBorders>
          </w:tcPr>
          <w:p>
            <w:pPr>
              <w:spacing w:after="0"/>
              <w:rPr>
                <w:sz w:val="16"/>
                <w:szCs w:val="16"/>
                <w:color w:val="auto"/>
              </w:rPr>
            </w:pPr>
          </w:p>
        </w:tc>
        <w:tc>
          <w:tcPr>
            <w:tcW w:w="9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6"/>
                <w:szCs w:val="16"/>
                <w:color w:val="auto"/>
              </w:rPr>
            </w:pPr>
          </w:p>
        </w:tc>
        <w:tc>
          <w:tcPr>
            <w:tcW w:w="1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1,197</w:t>
            </w:r>
          </w:p>
        </w:tc>
        <w:tc>
          <w:tcPr>
            <w:tcW w:w="100" w:type="dxa"/>
            <w:vAlign w:val="bottom"/>
          </w:tcPr>
          <w:p>
            <w:pPr>
              <w:spacing w:after="0"/>
              <w:rPr>
                <w:sz w:val="16"/>
                <w:szCs w:val="16"/>
                <w:color w:val="auto"/>
              </w:rPr>
            </w:pPr>
          </w:p>
        </w:tc>
        <w:tc>
          <w:tcPr>
            <w:tcW w:w="10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7"/>
        </w:trPr>
        <w:tc>
          <w:tcPr>
            <w:tcW w:w="444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Borders>
              <w:bottom w:val="single" w:sz="8" w:color="929292"/>
            </w:tcBorders>
            <w:shd w:val="clear" w:color="auto" w:fill="929292"/>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86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(12,130)</w:t>
            </w:r>
          </w:p>
        </w:tc>
        <w:tc>
          <w:tcPr>
            <w:tcW w:w="10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ind w:right="88"/>
              <w:spacing w:after="0"/>
              <w:rPr>
                <w:sz w:val="20"/>
                <w:szCs w:val="20"/>
                <w:color w:val="auto"/>
              </w:rPr>
            </w:pPr>
            <w:r>
              <w:rPr>
                <w:rFonts w:ascii="Arial" w:cs="Arial" w:eastAsia="Arial" w:hAnsi="Arial"/>
                <w:sz w:val="14"/>
                <w:szCs w:val="14"/>
                <w:color w:val="auto"/>
              </w:rPr>
              <w:t>(13,364)</w:t>
            </w:r>
          </w:p>
        </w:tc>
        <w:tc>
          <w:tcPr>
            <w:tcW w:w="8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1,234</w:t>
            </w:r>
          </w:p>
        </w:tc>
        <w:tc>
          <w:tcPr>
            <w:tcW w:w="100" w:type="dxa"/>
            <w:vAlign w:val="bottom"/>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0"/>
        </w:trPr>
        <w:tc>
          <w:tcPr>
            <w:tcW w:w="444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00" w:type="dxa"/>
            <w:vAlign w:val="bottom"/>
            <w:tcBorders>
              <w:bottom w:val="single" w:sz="8" w:color="929292"/>
            </w:tcBorders>
            <w:shd w:val="clear" w:color="auto" w:fill="929292"/>
          </w:tcPr>
          <w:p>
            <w:pPr>
              <w:spacing w:after="0"/>
              <w:rPr>
                <w:sz w:val="17"/>
                <w:szCs w:val="17"/>
                <w:color w:val="auto"/>
              </w:rPr>
            </w:pPr>
          </w:p>
        </w:tc>
        <w:tc>
          <w:tcPr>
            <w:tcW w:w="18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b w:val="1"/>
                <w:bCs w:val="1"/>
                <w:color w:val="auto"/>
              </w:rPr>
              <w:t>(9,216)</w:t>
            </w:r>
          </w:p>
        </w:tc>
        <w:tc>
          <w:tcPr>
            <w:tcW w:w="10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7"/>
                <w:szCs w:val="17"/>
                <w:color w:val="auto"/>
              </w:rPr>
            </w:pPr>
          </w:p>
        </w:tc>
        <w:tc>
          <w:tcPr>
            <w:tcW w:w="18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6B6B6"/>
            </w:tcBorders>
          </w:tcPr>
          <w:p>
            <w:pPr>
              <w:jc w:val="right"/>
              <w:ind w:right="88"/>
              <w:spacing w:after="0"/>
              <w:rPr>
                <w:sz w:val="20"/>
                <w:szCs w:val="20"/>
                <w:color w:val="auto"/>
              </w:rPr>
            </w:pPr>
            <w:r>
              <w:rPr>
                <w:rFonts w:ascii="Arial" w:cs="Arial" w:eastAsia="Arial" w:hAnsi="Arial"/>
                <w:sz w:val="14"/>
                <w:szCs w:val="14"/>
                <w:b w:val="1"/>
                <w:bCs w:val="1"/>
                <w:color w:val="auto"/>
              </w:rPr>
              <w:t>(9,179)</w:t>
            </w:r>
          </w:p>
        </w:tc>
        <w:tc>
          <w:tcPr>
            <w:tcW w:w="8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(5.0)%</w:t>
            </w:r>
          </w:p>
        </w:tc>
        <w:tc>
          <w:tcPr>
            <w:tcW w:w="80" w:type="dxa"/>
            <w:vAlign w:val="bottom"/>
          </w:tcPr>
          <w:p>
            <w:pPr>
              <w:spacing w:after="0"/>
              <w:rPr>
                <w:sz w:val="17"/>
                <w:szCs w:val="17"/>
                <w:color w:val="auto"/>
              </w:rPr>
            </w:pPr>
          </w:p>
        </w:tc>
        <w:tc>
          <w:tcPr>
            <w:tcW w:w="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0.4 %</w:t>
            </w:r>
          </w:p>
        </w:tc>
        <w:tc>
          <w:tcPr>
            <w:tcW w:w="0" w:type="dxa"/>
            <w:vAlign w:val="bottom"/>
          </w:tcPr>
          <w:p>
            <w:pPr>
              <w:spacing w:after="0"/>
              <w:rPr>
                <w:sz w:val="1"/>
                <w:szCs w:val="1"/>
                <w:color w:val="auto"/>
              </w:rPr>
            </w:pPr>
          </w:p>
        </w:tc>
      </w:tr>
      <w:tr>
        <w:trPr>
          <w:trHeight w:val="21"/>
        </w:trPr>
        <w:tc>
          <w:tcPr>
            <w:tcW w:w="4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Net income (loss) per share:</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86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9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B6B6B6"/>
            </w:tcBorders>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8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440" w:type="dxa"/>
            <w:vAlign w:val="bottom"/>
            <w:vMerge w:val="continue"/>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4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basic and</w:t>
            </w:r>
          </w:p>
        </w:tc>
        <w:tc>
          <w:tcPr>
            <w:tcW w:w="100" w:type="dxa"/>
            <w:vAlign w:val="bottom"/>
            <w:shd w:val="clear" w:color="auto" w:fill="929292"/>
          </w:tcPr>
          <w:p>
            <w:pPr>
              <w:spacing w:after="0"/>
              <w:rPr>
                <w:sz w:val="13"/>
                <w:szCs w:val="13"/>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2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929292"/>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20"/>
              <w:spacing w:after="0" w:line="149" w:lineRule="exact"/>
              <w:rPr>
                <w:sz w:val="20"/>
                <w:szCs w:val="20"/>
                <w:color w:val="auto"/>
              </w:rPr>
            </w:pPr>
            <w:r>
              <w:rPr>
                <w:rFonts w:ascii="Arial" w:cs="Arial" w:eastAsia="Arial" w:hAnsi="Arial"/>
                <w:sz w:val="14"/>
                <w:szCs w:val="14"/>
                <w:color w:val="auto"/>
              </w:rPr>
              <w:t>Weighted-average shares of Class A common stock outstanding —</w:t>
            </w:r>
          </w:p>
        </w:tc>
        <w:tc>
          <w:tcPr>
            <w:tcW w:w="100" w:type="dxa"/>
            <w:vAlign w:val="bottom"/>
            <w:shd w:val="clear" w:color="auto" w:fill="929292"/>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color w:val="auto"/>
              </w:rPr>
              <w:t>9,715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8,965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440" w:type="dxa"/>
            <w:vAlign w:val="bottom"/>
          </w:tcPr>
          <w:p>
            <w:pPr>
              <w:ind w:left="20"/>
              <w:spacing w:after="0"/>
              <w:rPr>
                <w:sz w:val="20"/>
                <w:szCs w:val="20"/>
                <w:color w:val="auto"/>
              </w:rPr>
            </w:pPr>
            <w:r>
              <w:rPr>
                <w:rFonts w:ascii="Arial" w:cs="Arial" w:eastAsia="Arial" w:hAnsi="Arial"/>
                <w:sz w:val="14"/>
                <w:szCs w:val="14"/>
                <w:color w:val="auto"/>
              </w:rPr>
              <w:t>basic and diluted</w:t>
            </w:r>
          </w:p>
        </w:tc>
        <w:tc>
          <w:tcPr>
            <w:tcW w:w="100" w:type="dxa"/>
            <w:vAlign w:val="bottom"/>
            <w:shd w:val="clear" w:color="auto" w:fill="929292"/>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Non-GAAP financial measures:</w:t>
            </w:r>
          </w:p>
        </w:tc>
        <w:tc>
          <w:tcPr>
            <w:tcW w:w="100" w:type="dxa"/>
            <w:vAlign w:val="bottom"/>
            <w:shd w:val="clear" w:color="auto" w:fill="929292"/>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EBITDA</w:t>
            </w:r>
          </w:p>
        </w:tc>
        <w:tc>
          <w:tcPr>
            <w:tcW w:w="100" w:type="dxa"/>
            <w:vAlign w:val="bottom"/>
            <w:shd w:val="clear" w:color="auto" w:fill="929292"/>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22,780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20,571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929292"/>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26,894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28,778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40" w:type="dxa"/>
            <w:vAlign w:val="bottom"/>
          </w:tcPr>
          <w:p>
            <w:pPr>
              <w:ind w:left="240"/>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92929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reconciliations of GAAP net income (loss) to EBITDA and Adjusted EBITDA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80" w:type="dxa"/>
            <w:vAlign w:val="bottom"/>
            <w:shd w:val="clear" w:color="auto" w:fill="929292"/>
          </w:tcPr>
          <w:p>
            <w:pPr>
              <w:spacing w:after="0"/>
              <w:rPr>
                <w:sz w:val="17"/>
                <w:szCs w:val="17"/>
                <w:color w:val="auto"/>
              </w:rPr>
            </w:pPr>
          </w:p>
        </w:tc>
        <w:tc>
          <w:tcPr>
            <w:tcW w:w="400" w:type="dxa"/>
            <w:vAlign w:val="bottom"/>
          </w:tcPr>
          <w:p>
            <w:pPr>
              <w:spacing w:after="0"/>
              <w:rPr>
                <w:sz w:val="17"/>
                <w:szCs w:val="17"/>
                <w:color w:val="auto"/>
              </w:rPr>
            </w:pPr>
          </w:p>
        </w:tc>
        <w:tc>
          <w:tcPr>
            <w:tcW w:w="31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Three months ended Mar. 31,</w:t>
            </w:r>
          </w:p>
        </w:tc>
        <w:tc>
          <w:tcPr>
            <w:tcW w:w="0" w:type="dxa"/>
            <w:vAlign w:val="bottom"/>
          </w:tcPr>
          <w:p>
            <w:pPr>
              <w:spacing w:after="0"/>
              <w:rPr>
                <w:sz w:val="1"/>
                <w:szCs w:val="1"/>
                <w:color w:val="auto"/>
              </w:rPr>
            </w:pPr>
          </w:p>
        </w:tc>
      </w:tr>
      <w:tr>
        <w:trPr>
          <w:trHeight w:val="197"/>
        </w:trPr>
        <w:tc>
          <w:tcPr>
            <w:tcW w:w="76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929292"/>
            </w:tcBorders>
            <w:shd w:val="clear" w:color="auto" w:fill="929292"/>
          </w:tcPr>
          <w:p>
            <w:pPr>
              <w:spacing w:after="0"/>
              <w:rPr>
                <w:sz w:val="17"/>
                <w:szCs w:val="17"/>
                <w:color w:val="auto"/>
              </w:rPr>
            </w:pPr>
          </w:p>
        </w:tc>
        <w:tc>
          <w:tcPr>
            <w:tcW w:w="400" w:type="dxa"/>
            <w:vAlign w:val="bottom"/>
            <w:tcBorders>
              <w:bottom w:val="single" w:sz="8" w:color="B6B6B6"/>
            </w:tcBorders>
          </w:tcPr>
          <w:p>
            <w:pPr>
              <w:spacing w:after="0"/>
              <w:rPr>
                <w:sz w:val="17"/>
                <w:szCs w:val="17"/>
                <w:color w:val="auto"/>
              </w:rPr>
            </w:pPr>
          </w:p>
        </w:tc>
        <w:tc>
          <w:tcPr>
            <w:tcW w:w="1320" w:type="dxa"/>
            <w:vAlign w:val="bottom"/>
            <w:tcBorders>
              <w:bottom w:val="single" w:sz="8" w:color="B6B6B6"/>
            </w:tcBorders>
          </w:tcPr>
          <w:p>
            <w:pPr>
              <w:jc w:val="right"/>
              <w:ind w:right="62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40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5"/>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Net revenues</w:t>
            </w:r>
          </w:p>
        </w:tc>
        <w:tc>
          <w:tcPr>
            <w:tcW w:w="80" w:type="dxa"/>
            <w:vAlign w:val="bottom"/>
            <w:tcBorders>
              <w:bottom w:val="single" w:sz="8" w:color="929292"/>
            </w:tcBorders>
            <w:shd w:val="clear" w:color="auto" w:fill="929292"/>
          </w:tcPr>
          <w:p>
            <w:pPr>
              <w:spacing w:after="0"/>
              <w:rPr>
                <w:sz w:val="16"/>
                <w:szCs w:val="16"/>
                <w:color w:val="auto"/>
              </w:rPr>
            </w:pPr>
          </w:p>
        </w:tc>
        <w:tc>
          <w:tcPr>
            <w:tcW w:w="400" w:type="dxa"/>
            <w:vAlign w:val="bottom"/>
            <w:tcBorders>
              <w:bottom w:val="single" w:sz="8" w:color="B6B6B6"/>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rPr>
              <w:t>185,600</w:t>
            </w:r>
          </w:p>
        </w:tc>
        <w:tc>
          <w:tcPr>
            <w:tcW w:w="80" w:type="dxa"/>
            <w:vAlign w:val="bottom"/>
          </w:tcPr>
          <w:p>
            <w:pPr>
              <w:spacing w:after="0"/>
              <w:rPr>
                <w:sz w:val="16"/>
                <w:szCs w:val="16"/>
                <w:color w:val="auto"/>
              </w:rPr>
            </w:pPr>
          </w:p>
        </w:tc>
        <w:tc>
          <w:tcPr>
            <w:tcW w:w="400" w:type="dxa"/>
            <w:vAlign w:val="bottom"/>
            <w:tcBorders>
              <w:bottom w:val="single" w:sz="8" w:color="B6B6B6"/>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183,158</w:t>
            </w:r>
          </w:p>
        </w:tc>
        <w:tc>
          <w:tcPr>
            <w:tcW w:w="0" w:type="dxa"/>
            <w:vAlign w:val="bottom"/>
          </w:tcPr>
          <w:p>
            <w:pPr>
              <w:spacing w:after="0"/>
              <w:rPr>
                <w:sz w:val="1"/>
                <w:szCs w:val="1"/>
                <w:color w:val="auto"/>
              </w:rPr>
            </w:pPr>
          </w:p>
        </w:tc>
      </w:tr>
      <w:tr>
        <w:trPr>
          <w:trHeight w:val="190"/>
        </w:trPr>
        <w:tc>
          <w:tcPr>
            <w:tcW w:w="76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929292"/>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(21,346)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(22,543)</w:t>
            </w:r>
          </w:p>
        </w:tc>
        <w:tc>
          <w:tcPr>
            <w:tcW w:w="0" w:type="dxa"/>
            <w:vAlign w:val="bottom"/>
          </w:tcPr>
          <w:p>
            <w:pPr>
              <w:spacing w:after="0"/>
              <w:rPr>
                <w:sz w:val="1"/>
                <w:szCs w:val="1"/>
                <w:color w:val="auto"/>
              </w:rPr>
            </w:pPr>
          </w:p>
        </w:tc>
      </w:tr>
      <w:tr>
        <w:trPr>
          <w:trHeight w:val="203"/>
        </w:trPr>
        <w:tc>
          <w:tcPr>
            <w:tcW w:w="764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80" w:type="dxa"/>
            <w:vAlign w:val="bottom"/>
            <w:shd w:val="clear" w:color="auto" w:fill="929292"/>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17,951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16,891</w:t>
            </w:r>
          </w:p>
        </w:tc>
        <w:tc>
          <w:tcPr>
            <w:tcW w:w="0" w:type="dxa"/>
            <w:vAlign w:val="bottom"/>
          </w:tcPr>
          <w:p>
            <w:pPr>
              <w:spacing w:after="0"/>
              <w:rPr>
                <w:sz w:val="1"/>
                <w:szCs w:val="1"/>
                <w:color w:val="auto"/>
              </w:rPr>
            </w:pPr>
          </w:p>
        </w:tc>
      </w:tr>
      <w:tr>
        <w:trPr>
          <w:trHeight w:val="203"/>
        </w:trPr>
        <w:tc>
          <w:tcPr>
            <w:tcW w:w="7640" w:type="dxa"/>
            <w:vAlign w:val="bottom"/>
          </w:tcPr>
          <w:p>
            <w:pPr>
              <w:ind w:left="240"/>
              <w:spacing w:after="0"/>
              <w:rPr>
                <w:sz w:val="20"/>
                <w:szCs w:val="20"/>
                <w:color w:val="auto"/>
              </w:rPr>
            </w:pPr>
            <w:r>
              <w:rPr>
                <w:rFonts w:ascii="Arial" w:cs="Arial" w:eastAsia="Arial" w:hAnsi="Arial"/>
                <w:sz w:val="14"/>
                <w:szCs w:val="14"/>
                <w:color w:val="auto"/>
              </w:rPr>
              <w:t>Income tax expense (benefit)</w:t>
            </w:r>
          </w:p>
        </w:tc>
        <w:tc>
          <w:tcPr>
            <w:tcW w:w="80" w:type="dxa"/>
            <w:vAlign w:val="bottom"/>
            <w:shd w:val="clear" w:color="auto" w:fill="929292"/>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4"/>
        </w:trPr>
        <w:tc>
          <w:tcPr>
            <w:tcW w:w="7640" w:type="dxa"/>
            <w:vAlign w:val="bottom"/>
          </w:tcPr>
          <w:p>
            <w:pPr>
              <w:ind w:left="240"/>
              <w:spacing w:after="0"/>
              <w:rPr>
                <w:sz w:val="20"/>
                <w:szCs w:val="20"/>
                <w:color w:val="auto"/>
              </w:rPr>
            </w:pPr>
            <w:r>
              <w:rPr>
                <w:rFonts w:ascii="Arial" w:cs="Arial" w:eastAsia="Arial" w:hAnsi="Arial"/>
                <w:sz w:val="14"/>
                <w:szCs w:val="14"/>
                <w:color w:val="auto"/>
              </w:rPr>
              <w:t>Depreciation and amortization expense</w:t>
            </w:r>
          </w:p>
        </w:tc>
        <w:tc>
          <w:tcPr>
            <w:tcW w:w="80" w:type="dxa"/>
            <w:vAlign w:val="bottom"/>
            <w:tcBorders>
              <w:bottom w:val="single" w:sz="8" w:color="929292"/>
            </w:tcBorders>
            <w:shd w:val="clear" w:color="auto" w:fill="929292"/>
          </w:tcPr>
          <w:p>
            <w:pPr>
              <w:spacing w:after="0"/>
              <w:rPr>
                <w:sz w:val="17"/>
                <w:szCs w:val="17"/>
                <w:color w:val="auto"/>
              </w:rPr>
            </w:pPr>
          </w:p>
        </w:tc>
        <w:tc>
          <w:tcPr>
            <w:tcW w:w="400" w:type="dxa"/>
            <w:vAlign w:val="bottom"/>
            <w:tcBorders>
              <w:bottom w:val="single" w:sz="8" w:color="929292"/>
            </w:tcBorders>
          </w:tcPr>
          <w:p>
            <w:pPr>
              <w:spacing w:after="0"/>
              <w:rPr>
                <w:sz w:val="17"/>
                <w:szCs w:val="17"/>
                <w:color w:val="auto"/>
              </w:rPr>
            </w:pPr>
          </w:p>
        </w:tc>
        <w:tc>
          <w:tcPr>
            <w:tcW w:w="132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color w:val="auto"/>
              </w:rPr>
              <w:t>26,246</w:t>
            </w:r>
          </w:p>
        </w:tc>
        <w:tc>
          <w:tcPr>
            <w:tcW w:w="80" w:type="dxa"/>
            <w:vAlign w:val="bottom"/>
          </w:tcPr>
          <w:p>
            <w:pPr>
              <w:spacing w:after="0"/>
              <w:rPr>
                <w:sz w:val="17"/>
                <w:szCs w:val="17"/>
                <w:color w:val="auto"/>
              </w:rPr>
            </w:pPr>
          </w:p>
        </w:tc>
        <w:tc>
          <w:tcPr>
            <w:tcW w:w="400" w:type="dxa"/>
            <w:vAlign w:val="bottom"/>
            <w:tcBorders>
              <w:bottom w:val="single" w:sz="8" w:color="929292"/>
            </w:tcBorders>
          </w:tcPr>
          <w:p>
            <w:pPr>
              <w:spacing w:after="0"/>
              <w:rPr>
                <w:sz w:val="17"/>
                <w:szCs w:val="17"/>
                <w:color w:val="auto"/>
              </w:rPr>
            </w:pPr>
          </w:p>
        </w:tc>
        <w:tc>
          <w:tcPr>
            <w:tcW w:w="130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26,267</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Arial" w:cs="Arial" w:eastAsia="Arial" w:hAnsi="Arial"/>
                <w:sz w:val="14"/>
                <w:szCs w:val="14"/>
                <w:color w:val="auto"/>
              </w:rPr>
              <w:t>EBITDA</w:t>
            </w:r>
          </w:p>
        </w:tc>
        <w:tc>
          <w:tcPr>
            <w:tcW w:w="80" w:type="dxa"/>
            <w:vAlign w:val="bottom"/>
            <w:tcBorders>
              <w:bottom w:val="single" w:sz="8" w:color="929292"/>
            </w:tcBorders>
            <w:shd w:val="clear" w:color="auto" w:fill="929292"/>
          </w:tcPr>
          <w:p>
            <w:pPr>
              <w:spacing w:after="0"/>
              <w:rPr>
                <w:sz w:val="17"/>
                <w:szCs w:val="17"/>
                <w:color w:val="auto"/>
              </w:rPr>
            </w:pPr>
          </w:p>
        </w:tc>
        <w:tc>
          <w:tcPr>
            <w:tcW w:w="400" w:type="dxa"/>
            <w:vAlign w:val="bottom"/>
            <w:tcBorders>
              <w:bottom w:val="single" w:sz="8" w:color="929292"/>
            </w:tcBorders>
          </w:tcPr>
          <w:p>
            <w:pPr>
              <w:spacing w:after="0"/>
              <w:rPr>
                <w:sz w:val="17"/>
                <w:szCs w:val="17"/>
                <w:color w:val="auto"/>
              </w:rPr>
            </w:pPr>
          </w:p>
        </w:tc>
        <w:tc>
          <w:tcPr>
            <w:tcW w:w="132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color w:val="auto"/>
              </w:rPr>
              <w:t>22,780</w:t>
            </w:r>
          </w:p>
        </w:tc>
        <w:tc>
          <w:tcPr>
            <w:tcW w:w="80" w:type="dxa"/>
            <w:vAlign w:val="bottom"/>
          </w:tcPr>
          <w:p>
            <w:pPr>
              <w:spacing w:after="0"/>
              <w:rPr>
                <w:sz w:val="17"/>
                <w:szCs w:val="17"/>
                <w:color w:val="auto"/>
              </w:rPr>
            </w:pPr>
          </w:p>
        </w:tc>
        <w:tc>
          <w:tcPr>
            <w:tcW w:w="400" w:type="dxa"/>
            <w:vAlign w:val="bottom"/>
            <w:tcBorders>
              <w:bottom w:val="single" w:sz="8" w:color="929292"/>
            </w:tcBorders>
          </w:tcPr>
          <w:p>
            <w:pPr>
              <w:spacing w:after="0"/>
              <w:rPr>
                <w:sz w:val="17"/>
                <w:szCs w:val="17"/>
                <w:color w:val="auto"/>
              </w:rPr>
            </w:pPr>
          </w:p>
        </w:tc>
        <w:tc>
          <w:tcPr>
            <w:tcW w:w="130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20,571</w:t>
            </w:r>
          </w:p>
        </w:tc>
        <w:tc>
          <w:tcPr>
            <w:tcW w:w="0" w:type="dxa"/>
            <w:vAlign w:val="bottom"/>
          </w:tcPr>
          <w:p>
            <w:pPr>
              <w:spacing w:after="0"/>
              <w:rPr>
                <w:sz w:val="1"/>
                <w:szCs w:val="1"/>
                <w:color w:val="auto"/>
              </w:rPr>
            </w:pPr>
          </w:p>
        </w:tc>
      </w:tr>
      <w:tr>
        <w:trPr>
          <w:trHeight w:val="194"/>
        </w:trPr>
        <w:tc>
          <w:tcPr>
            <w:tcW w:w="7640" w:type="dxa"/>
            <w:vAlign w:val="bottom"/>
          </w:tcPr>
          <w:p>
            <w:pPr>
              <w:ind w:left="140"/>
              <w:spacing w:after="0"/>
              <w:rPr>
                <w:sz w:val="20"/>
                <w:szCs w:val="20"/>
                <w:color w:val="auto"/>
              </w:rPr>
            </w:pPr>
            <w:r>
              <w:rPr>
                <w:rFonts w:ascii="Arial" w:cs="Arial" w:eastAsia="Arial" w:hAnsi="Arial"/>
                <w:sz w:val="14"/>
                <w:szCs w:val="14"/>
                <w:color w:val="auto"/>
              </w:rPr>
              <w:t>Share-based compensation expense (benefit)</w:t>
            </w:r>
            <w:r>
              <w:rPr>
                <w:rFonts w:ascii="Arial" w:cs="Arial" w:eastAsia="Arial" w:hAnsi="Arial"/>
                <w:sz w:val="9"/>
                <w:szCs w:val="9"/>
                <w:color w:val="auto"/>
              </w:rPr>
              <w:t>(1)</w:t>
            </w:r>
          </w:p>
        </w:tc>
        <w:tc>
          <w:tcPr>
            <w:tcW w:w="80" w:type="dxa"/>
            <w:vAlign w:val="bottom"/>
            <w:shd w:val="clear" w:color="auto" w:fill="929292"/>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1,783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6,584</w:t>
            </w:r>
          </w:p>
        </w:tc>
        <w:tc>
          <w:tcPr>
            <w:tcW w:w="0" w:type="dxa"/>
            <w:vAlign w:val="bottom"/>
          </w:tcPr>
          <w:p>
            <w:pPr>
              <w:spacing w:after="0"/>
              <w:rPr>
                <w:sz w:val="1"/>
                <w:szCs w:val="1"/>
                <w:color w:val="auto"/>
              </w:rPr>
            </w:pPr>
          </w:p>
        </w:tc>
      </w:tr>
      <w:tr>
        <w:trPr>
          <w:trHeight w:val="203"/>
        </w:trPr>
        <w:tc>
          <w:tcPr>
            <w:tcW w:w="7640" w:type="dxa"/>
            <w:vAlign w:val="bottom"/>
          </w:tcPr>
          <w:p>
            <w:pPr>
              <w:ind w:left="140"/>
              <w:spacing w:after="0"/>
              <w:rPr>
                <w:sz w:val="20"/>
                <w:szCs w:val="20"/>
                <w:color w:val="auto"/>
              </w:rPr>
            </w:pPr>
            <w:r>
              <w:rPr>
                <w:rFonts w:ascii="Arial" w:cs="Arial" w:eastAsia="Arial" w:hAnsi="Arial"/>
                <w:sz w:val="14"/>
                <w:szCs w:val="14"/>
                <w:color w:val="auto"/>
              </w:rPr>
              <w:t>Legal fees</w:t>
            </w:r>
            <w:r>
              <w:rPr>
                <w:rFonts w:ascii="Arial" w:cs="Arial" w:eastAsia="Arial" w:hAnsi="Arial"/>
                <w:sz w:val="9"/>
                <w:szCs w:val="9"/>
                <w:color w:val="auto"/>
              </w:rPr>
              <w:t>(2)</w:t>
            </w:r>
          </w:p>
        </w:tc>
        <w:tc>
          <w:tcPr>
            <w:tcW w:w="80" w:type="dxa"/>
            <w:vAlign w:val="bottom"/>
            <w:shd w:val="clear" w:color="auto" w:fill="929292"/>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207"/>
        </w:trPr>
        <w:tc>
          <w:tcPr>
            <w:tcW w:w="7640" w:type="dxa"/>
            <w:vAlign w:val="bottom"/>
          </w:tcPr>
          <w:p>
            <w:pPr>
              <w:ind w:left="140"/>
              <w:spacing w:after="0"/>
              <w:rPr>
                <w:sz w:val="20"/>
                <w:szCs w:val="20"/>
                <w:color w:val="auto"/>
              </w:rPr>
            </w:pPr>
            <w:r>
              <w:rPr>
                <w:rFonts w:ascii="Arial" w:cs="Arial" w:eastAsia="Arial" w:hAnsi="Arial"/>
                <w:sz w:val="14"/>
                <w:szCs w:val="14"/>
                <w:color w:val="auto"/>
              </w:rPr>
              <w:t>Severance costs</w:t>
            </w:r>
            <w:r>
              <w:rPr>
                <w:rFonts w:ascii="Arial" w:cs="Arial" w:eastAsia="Arial" w:hAnsi="Arial"/>
                <w:sz w:val="9"/>
                <w:szCs w:val="9"/>
                <w:color w:val="auto"/>
              </w:rPr>
              <w:t>(3)</w:t>
            </w:r>
          </w:p>
        </w:tc>
        <w:tc>
          <w:tcPr>
            <w:tcW w:w="80" w:type="dxa"/>
            <w:vAlign w:val="bottom"/>
            <w:tcBorders>
              <w:bottom w:val="single" w:sz="8" w:color="929292"/>
            </w:tcBorders>
            <w:shd w:val="clear" w:color="auto" w:fill="929292"/>
          </w:tcPr>
          <w:p>
            <w:pPr>
              <w:spacing w:after="0"/>
              <w:rPr>
                <w:sz w:val="17"/>
                <w:szCs w:val="17"/>
                <w:color w:val="auto"/>
              </w:rPr>
            </w:pPr>
          </w:p>
        </w:tc>
        <w:tc>
          <w:tcPr>
            <w:tcW w:w="400" w:type="dxa"/>
            <w:vAlign w:val="bottom"/>
            <w:tcBorders>
              <w:bottom w:val="single" w:sz="8" w:color="929292"/>
            </w:tcBorders>
          </w:tcPr>
          <w:p>
            <w:pPr>
              <w:spacing w:after="0"/>
              <w:rPr>
                <w:sz w:val="17"/>
                <w:szCs w:val="17"/>
                <w:color w:val="auto"/>
              </w:rPr>
            </w:pPr>
          </w:p>
        </w:tc>
        <w:tc>
          <w:tcPr>
            <w:tcW w:w="132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color w:val="auto"/>
              </w:rPr>
              <w:t>1,828</w:t>
            </w:r>
          </w:p>
        </w:tc>
        <w:tc>
          <w:tcPr>
            <w:tcW w:w="80" w:type="dxa"/>
            <w:vAlign w:val="bottom"/>
          </w:tcPr>
          <w:p>
            <w:pPr>
              <w:spacing w:after="0"/>
              <w:rPr>
                <w:sz w:val="17"/>
                <w:szCs w:val="17"/>
                <w:color w:val="auto"/>
              </w:rPr>
            </w:pPr>
          </w:p>
        </w:tc>
        <w:tc>
          <w:tcPr>
            <w:tcW w:w="400" w:type="dxa"/>
            <w:vAlign w:val="bottom"/>
            <w:tcBorders>
              <w:bottom w:val="single" w:sz="8" w:color="929292"/>
            </w:tcBorders>
          </w:tcPr>
          <w:p>
            <w:pPr>
              <w:spacing w:after="0"/>
              <w:rPr>
                <w:sz w:val="17"/>
                <w:szCs w:val="17"/>
                <w:color w:val="auto"/>
              </w:rPr>
            </w:pPr>
          </w:p>
        </w:tc>
        <w:tc>
          <w:tcPr>
            <w:tcW w:w="130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76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80" w:type="dxa"/>
            <w:vAlign w:val="bottom"/>
            <w:tcBorders>
              <w:bottom w:val="single" w:sz="8" w:color="929292"/>
            </w:tcBorders>
            <w:shd w:val="clear" w:color="auto" w:fill="929292"/>
          </w:tcPr>
          <w:p>
            <w:pPr>
              <w:spacing w:after="0"/>
              <w:rPr>
                <w:sz w:val="17"/>
                <w:szCs w:val="17"/>
                <w:color w:val="auto"/>
              </w:rPr>
            </w:pPr>
          </w:p>
        </w:tc>
        <w:tc>
          <w:tcPr>
            <w:tcW w:w="400" w:type="dxa"/>
            <w:vAlign w:val="bottom"/>
            <w:tcBorders>
              <w:bottom w:val="single" w:sz="8" w:color="929292"/>
            </w:tcBorders>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color w:val="auto"/>
              </w:rPr>
              <w:t>26,894</w:t>
            </w:r>
          </w:p>
        </w:tc>
        <w:tc>
          <w:tcPr>
            <w:tcW w:w="80" w:type="dxa"/>
            <w:vAlign w:val="bottom"/>
          </w:tcPr>
          <w:p>
            <w:pPr>
              <w:spacing w:after="0"/>
              <w:rPr>
                <w:sz w:val="17"/>
                <w:szCs w:val="17"/>
                <w:color w:val="auto"/>
              </w:rPr>
            </w:pPr>
          </w:p>
        </w:tc>
        <w:tc>
          <w:tcPr>
            <w:tcW w:w="400" w:type="dxa"/>
            <w:vAlign w:val="bottom"/>
            <w:tcBorders>
              <w:bottom w:val="single" w:sz="8" w:color="929292"/>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28,778</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20"/>
              <w:spacing w:after="0"/>
              <w:rPr>
                <w:sz w:val="20"/>
                <w:szCs w:val="20"/>
                <w:color w:val="auto"/>
              </w:rPr>
            </w:pPr>
            <w:r>
              <w:rPr>
                <w:rFonts w:ascii="Arial" w:cs="Arial" w:eastAsia="Arial" w:hAnsi="Arial"/>
                <w:sz w:val="14"/>
                <w:szCs w:val="14"/>
                <w:color w:val="auto"/>
              </w:rPr>
              <w:t>Adjusted EBITDA margin</w:t>
            </w:r>
          </w:p>
        </w:tc>
        <w:tc>
          <w:tcPr>
            <w:tcW w:w="80" w:type="dxa"/>
            <w:vAlign w:val="bottom"/>
            <w:tcBorders>
              <w:bottom w:val="single" w:sz="8" w:color="929292"/>
            </w:tcBorders>
            <w:shd w:val="clear" w:color="auto" w:fill="929292"/>
          </w:tcPr>
          <w:p>
            <w:pPr>
              <w:spacing w:after="0" w:line="20" w:lineRule="exact"/>
              <w:rPr>
                <w:sz w:val="1"/>
                <w:szCs w:val="1"/>
                <w:color w:val="auto"/>
              </w:rPr>
            </w:pPr>
          </w:p>
        </w:tc>
        <w:tc>
          <w:tcPr>
            <w:tcW w:w="400" w:type="dxa"/>
            <w:vAlign w:val="bottom"/>
            <w:tcBorders>
              <w:bottom w:val="single" w:sz="8" w:color="929292"/>
            </w:tcBorders>
          </w:tcPr>
          <w:p>
            <w:pPr>
              <w:spacing w:after="0" w:line="20" w:lineRule="exact"/>
              <w:rPr>
                <w:sz w:val="1"/>
                <w:szCs w:val="1"/>
                <w:color w:val="auto"/>
              </w:rPr>
            </w:pPr>
          </w:p>
        </w:tc>
        <w:tc>
          <w:tcPr>
            <w:tcW w:w="132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929292"/>
            </w:tcBorders>
          </w:tcPr>
          <w:p>
            <w:pPr>
              <w:spacing w:after="0" w:line="20" w:lineRule="exact"/>
              <w:rPr>
                <w:sz w:val="1"/>
                <w:szCs w:val="1"/>
                <w:color w:val="auto"/>
              </w:rPr>
            </w:pPr>
          </w:p>
        </w:tc>
        <w:tc>
          <w:tcPr>
            <w:tcW w:w="130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640" w:type="dxa"/>
            <w:vAlign w:val="bottom"/>
            <w:vMerge w:val="continue"/>
          </w:tcPr>
          <w:p>
            <w:pPr>
              <w:spacing w:after="0"/>
              <w:rPr>
                <w:sz w:val="17"/>
                <w:szCs w:val="17"/>
                <w:color w:val="auto"/>
              </w:rPr>
            </w:pPr>
          </w:p>
        </w:tc>
        <w:tc>
          <w:tcPr>
            <w:tcW w:w="80" w:type="dxa"/>
            <w:vAlign w:val="bottom"/>
            <w:shd w:val="clear" w:color="auto" w:fill="929292"/>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14.5 %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15.7 %</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40" w:right="160" w:hanging="332"/>
        <w:spacing w:after="0" w:line="246" w:lineRule="auto"/>
        <w:tabs>
          <w:tab w:leader="none" w:pos="332"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(benefit) relating to equity awards as well as share-based compensation expense (benefit) relating to liability classified awards that will be settled in cash.</w:t>
      </w: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fees, settlement accruals and other expenses related to certain litigation, Credit Agreement amendments and other non-routine legal or regulatory matters</w:t>
      </w:r>
    </w:p>
    <w:p>
      <w:pPr>
        <w:spacing w:after="0" w:line="4" w:lineRule="exact"/>
        <w:rPr>
          <w:rFonts w:ascii="Arial" w:cs="Arial" w:eastAsia="Arial" w:hAnsi="Arial"/>
          <w:sz w:val="13"/>
          <w:szCs w:val="13"/>
          <w:i w:val="1"/>
          <w:iCs w:val="1"/>
          <w:color w:val="auto"/>
        </w:rPr>
      </w:pP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severance costs and associated fees associated with a reduction in workforce.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net revenues and Adjusted EBITDA excluding the Non-Encompass BPO Services for the periods indicated (unaudited):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773"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240" w:type="dxa"/>
            <w:vAlign w:val="bottom"/>
            <w:shd w:val="clear" w:color="auto" w:fill="929292"/>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 Mar. 31,</w:t>
            </w:r>
          </w:p>
        </w:tc>
        <w:tc>
          <w:tcPr>
            <w:tcW w:w="0" w:type="dxa"/>
            <w:vAlign w:val="bottom"/>
          </w:tcPr>
          <w:p>
            <w:pPr>
              <w:spacing w:after="0"/>
              <w:rPr>
                <w:sz w:val="1"/>
                <w:szCs w:val="1"/>
                <w:color w:val="auto"/>
              </w:rPr>
            </w:pPr>
          </w:p>
        </w:tc>
      </w:tr>
      <w:tr>
        <w:trPr>
          <w:trHeight w:val="197"/>
        </w:trPr>
        <w:tc>
          <w:tcPr>
            <w:tcW w:w="770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929292"/>
            </w:tcBorders>
            <w:shd w:val="clear" w:color="auto" w:fill="929292"/>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5"/>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Net revenues</w:t>
            </w:r>
          </w:p>
        </w:tc>
        <w:tc>
          <w:tcPr>
            <w:tcW w:w="240" w:type="dxa"/>
            <w:vAlign w:val="bottom"/>
            <w:shd w:val="clear" w:color="auto" w:fill="929292"/>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185,600</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183,158</w:t>
            </w:r>
          </w:p>
        </w:tc>
        <w:tc>
          <w:tcPr>
            <w:tcW w:w="0" w:type="dxa"/>
            <w:vAlign w:val="bottom"/>
          </w:tcPr>
          <w:p>
            <w:pPr>
              <w:spacing w:after="0"/>
              <w:rPr>
                <w:sz w:val="1"/>
                <w:szCs w:val="1"/>
                <w:color w:val="auto"/>
              </w:rPr>
            </w:pPr>
          </w:p>
        </w:tc>
      </w:tr>
      <w:tr>
        <w:trPr>
          <w:trHeight w:val="198"/>
        </w:trPr>
        <w:tc>
          <w:tcPr>
            <w:tcW w:w="7700" w:type="dxa"/>
            <w:vAlign w:val="bottom"/>
          </w:tcPr>
          <w:p>
            <w:pPr>
              <w:ind w:left="240"/>
              <w:spacing w:after="0"/>
              <w:rPr>
                <w:sz w:val="20"/>
                <w:szCs w:val="20"/>
                <w:color w:val="auto"/>
              </w:rPr>
            </w:pPr>
            <w:r>
              <w:rPr>
                <w:rFonts w:ascii="Arial" w:cs="Arial" w:eastAsia="Arial" w:hAnsi="Arial"/>
                <w:sz w:val="14"/>
                <w:szCs w:val="14"/>
                <w:color w:val="auto"/>
              </w:rPr>
              <w:t>Exit of Non-Encompass BPO Services</w:t>
            </w:r>
          </w:p>
        </w:tc>
        <w:tc>
          <w:tcPr>
            <w:tcW w:w="240" w:type="dxa"/>
            <w:vAlign w:val="bottom"/>
            <w:shd w:val="clear" w:color="auto" w:fill="929292"/>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(6,794)</w:t>
            </w:r>
          </w:p>
        </w:tc>
        <w:tc>
          <w:tcPr>
            <w:tcW w:w="0" w:type="dxa"/>
            <w:vAlign w:val="bottom"/>
          </w:tcPr>
          <w:p>
            <w:pPr>
              <w:spacing w:after="0"/>
              <w:rPr>
                <w:sz w:val="1"/>
                <w:szCs w:val="1"/>
                <w:color w:val="auto"/>
              </w:rPr>
            </w:pPr>
          </w:p>
        </w:tc>
      </w:tr>
      <w:tr>
        <w:trPr>
          <w:trHeight w:val="198"/>
        </w:trPr>
        <w:tc>
          <w:tcPr>
            <w:tcW w:w="7700" w:type="dxa"/>
            <w:vAlign w:val="bottom"/>
          </w:tcPr>
          <w:p>
            <w:pPr>
              <w:ind w:left="20"/>
              <w:spacing w:after="0"/>
              <w:rPr>
                <w:sz w:val="20"/>
                <w:szCs w:val="20"/>
                <w:color w:val="auto"/>
              </w:rPr>
            </w:pPr>
            <w:r>
              <w:rPr>
                <w:rFonts w:ascii="Arial" w:cs="Arial" w:eastAsia="Arial" w:hAnsi="Arial"/>
                <w:sz w:val="14"/>
                <w:szCs w:val="14"/>
                <w:color w:val="auto"/>
              </w:rPr>
              <w:t>Net revenues excluding Non-Encompass BPO Services</w:t>
            </w:r>
          </w:p>
        </w:tc>
        <w:tc>
          <w:tcPr>
            <w:tcW w:w="240" w:type="dxa"/>
            <w:vAlign w:val="bottom"/>
            <w:tcBorders>
              <w:top w:val="single" w:sz="8" w:color="929292"/>
              <w:bottom w:val="single" w:sz="8" w:color="929292"/>
            </w:tcBorders>
            <w:shd w:val="clear" w:color="auto" w:fill="929292"/>
          </w:tcPr>
          <w:p>
            <w:pPr>
              <w:spacing w:after="0"/>
              <w:rPr>
                <w:sz w:val="17"/>
                <w:szCs w:val="17"/>
                <w:color w:val="auto"/>
              </w:rPr>
            </w:pPr>
          </w:p>
        </w:tc>
        <w:tc>
          <w:tcPr>
            <w:tcW w:w="380" w:type="dxa"/>
            <w:vAlign w:val="bottom"/>
            <w:tcBorders>
              <w:top w:val="single" w:sz="8" w:color="B6B6B6"/>
              <w:bottom w:val="single" w:sz="8" w:color="B6B6B6"/>
            </w:tcBorders>
          </w:tcPr>
          <w:p>
            <w:pPr>
              <w:spacing w:after="0"/>
              <w:rPr>
                <w:sz w:val="17"/>
                <w:szCs w:val="17"/>
                <w:color w:val="auto"/>
              </w:rPr>
            </w:pPr>
          </w:p>
        </w:tc>
        <w:tc>
          <w:tcPr>
            <w:tcW w:w="1220" w:type="dxa"/>
            <w:vAlign w:val="bottom"/>
            <w:tcBorders>
              <w:top w:val="single" w:sz="8" w:color="B6B6B6"/>
              <w:bottom w:val="single" w:sz="8" w:color="B6B6B6"/>
            </w:tcBorders>
          </w:tcPr>
          <w:p>
            <w:pPr>
              <w:jc w:val="right"/>
              <w:ind w:right="168"/>
              <w:spacing w:after="0"/>
              <w:rPr>
                <w:sz w:val="20"/>
                <w:szCs w:val="20"/>
                <w:color w:val="auto"/>
              </w:rPr>
            </w:pPr>
            <w:r>
              <w:rPr>
                <w:rFonts w:ascii="Arial" w:cs="Arial" w:eastAsia="Arial" w:hAnsi="Arial"/>
                <w:sz w:val="14"/>
                <w:szCs w:val="14"/>
                <w:color w:val="auto"/>
              </w:rPr>
              <w:t>185,600</w:t>
            </w:r>
          </w:p>
        </w:tc>
        <w:tc>
          <w:tcPr>
            <w:tcW w:w="100" w:type="dxa"/>
            <w:vAlign w:val="bottom"/>
          </w:tcPr>
          <w:p>
            <w:pPr>
              <w:spacing w:after="0"/>
              <w:rPr>
                <w:sz w:val="17"/>
                <w:szCs w:val="17"/>
                <w:color w:val="auto"/>
              </w:rPr>
            </w:pPr>
          </w:p>
        </w:tc>
        <w:tc>
          <w:tcPr>
            <w:tcW w:w="360" w:type="dxa"/>
            <w:vAlign w:val="bottom"/>
            <w:tcBorders>
              <w:top w:val="single" w:sz="8" w:color="B6B6B6"/>
              <w:bottom w:val="single" w:sz="8" w:color="B6B6B6"/>
            </w:tcBorders>
          </w:tcPr>
          <w:p>
            <w:pPr>
              <w:spacing w:after="0"/>
              <w:rPr>
                <w:sz w:val="17"/>
                <w:szCs w:val="17"/>
                <w:color w:val="auto"/>
              </w:rPr>
            </w:pPr>
          </w:p>
        </w:tc>
        <w:tc>
          <w:tcPr>
            <w:tcW w:w="1220" w:type="dxa"/>
            <w:vAlign w:val="bottom"/>
            <w:tcBorders>
              <w:top w:val="single" w:sz="8" w:color="B6B6B6"/>
              <w:bottom w:val="single" w:sz="8" w:color="B6B6B6"/>
            </w:tcBorders>
          </w:tcPr>
          <w:p>
            <w:pPr>
              <w:jc w:val="right"/>
              <w:ind w:right="148"/>
              <w:spacing w:after="0"/>
              <w:rPr>
                <w:sz w:val="20"/>
                <w:szCs w:val="20"/>
                <w:color w:val="auto"/>
              </w:rPr>
            </w:pPr>
            <w:r>
              <w:rPr>
                <w:rFonts w:ascii="Arial" w:cs="Arial" w:eastAsia="Arial" w:hAnsi="Arial"/>
                <w:sz w:val="14"/>
                <w:szCs w:val="14"/>
                <w:color w:val="auto"/>
              </w:rPr>
              <w:t>176,364</w:t>
            </w:r>
          </w:p>
        </w:tc>
        <w:tc>
          <w:tcPr>
            <w:tcW w:w="0" w:type="dxa"/>
            <w:vAlign w:val="bottom"/>
          </w:tcPr>
          <w:p>
            <w:pPr>
              <w:spacing w:after="0"/>
              <w:rPr>
                <w:sz w:val="1"/>
                <w:szCs w:val="1"/>
                <w:color w:val="auto"/>
              </w:rPr>
            </w:pPr>
          </w:p>
        </w:tc>
      </w:tr>
      <w:tr>
        <w:trPr>
          <w:trHeight w:val="25"/>
        </w:trPr>
        <w:tc>
          <w:tcPr>
            <w:tcW w:w="7700" w:type="dxa"/>
            <w:vAlign w:val="bottom"/>
          </w:tcPr>
          <w:p>
            <w:pPr>
              <w:spacing w:after="0"/>
              <w:rPr>
                <w:sz w:val="2"/>
                <w:szCs w:val="2"/>
                <w:color w:val="auto"/>
              </w:rPr>
            </w:pPr>
          </w:p>
        </w:tc>
        <w:tc>
          <w:tcPr>
            <w:tcW w:w="240" w:type="dxa"/>
            <w:vAlign w:val="bottom"/>
            <w:tcBorders>
              <w:bottom w:val="single" w:sz="8" w:color="929292"/>
            </w:tcBorders>
            <w:shd w:val="clear" w:color="auto" w:fill="929292"/>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1220" w:type="dxa"/>
            <w:vAlign w:val="bottom"/>
            <w:tcBorders>
              <w:bottom w:val="single" w:sz="8" w:color="B6B6B6"/>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B6B6B6"/>
            </w:tcBorders>
          </w:tcPr>
          <w:p>
            <w:pPr>
              <w:spacing w:after="0"/>
              <w:rPr>
                <w:sz w:val="2"/>
                <w:szCs w:val="2"/>
                <w:color w:val="auto"/>
              </w:rPr>
            </w:pPr>
          </w:p>
        </w:tc>
        <w:tc>
          <w:tcPr>
            <w:tcW w:w="122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77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40" w:type="dxa"/>
            <w:vAlign w:val="bottom"/>
            <w:shd w:val="clear" w:color="auto" w:fill="929292"/>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26,894</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28,778</w:t>
            </w:r>
          </w:p>
        </w:tc>
        <w:tc>
          <w:tcPr>
            <w:tcW w:w="0" w:type="dxa"/>
            <w:vAlign w:val="bottom"/>
          </w:tcPr>
          <w:p>
            <w:pPr>
              <w:spacing w:after="0"/>
              <w:rPr>
                <w:sz w:val="1"/>
                <w:szCs w:val="1"/>
                <w:color w:val="auto"/>
              </w:rPr>
            </w:pPr>
          </w:p>
        </w:tc>
      </w:tr>
      <w:tr>
        <w:trPr>
          <w:trHeight w:val="204"/>
        </w:trPr>
        <w:tc>
          <w:tcPr>
            <w:tcW w:w="7700" w:type="dxa"/>
            <w:vAlign w:val="bottom"/>
          </w:tcPr>
          <w:p>
            <w:pPr>
              <w:ind w:left="240"/>
              <w:spacing w:after="0"/>
              <w:rPr>
                <w:sz w:val="20"/>
                <w:szCs w:val="20"/>
                <w:color w:val="auto"/>
              </w:rPr>
            </w:pPr>
            <w:r>
              <w:rPr>
                <w:rFonts w:ascii="Arial" w:cs="Arial" w:eastAsia="Arial" w:hAnsi="Arial"/>
                <w:sz w:val="14"/>
                <w:szCs w:val="14"/>
                <w:color w:val="auto"/>
              </w:rPr>
              <w:t>Exit of Non-Encompass BPO Services</w:t>
            </w:r>
          </w:p>
        </w:tc>
        <w:tc>
          <w:tcPr>
            <w:tcW w:w="240" w:type="dxa"/>
            <w:vAlign w:val="bottom"/>
            <w:shd w:val="clear" w:color="auto" w:fill="929292"/>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(1,402)</w:t>
            </w: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4"/>
                <w:szCs w:val="14"/>
                <w:color w:val="auto"/>
              </w:rPr>
              <w:t>Adjusted EBITDA excluding Non-Encompass BPO Services</w:t>
            </w:r>
          </w:p>
        </w:tc>
        <w:tc>
          <w:tcPr>
            <w:tcW w:w="240" w:type="dxa"/>
            <w:vAlign w:val="bottom"/>
            <w:tcBorders>
              <w:top w:val="single" w:sz="8" w:color="929292"/>
              <w:bottom w:val="single" w:sz="8" w:color="929292"/>
            </w:tcBorders>
            <w:shd w:val="clear" w:color="auto" w:fill="929292"/>
          </w:tcPr>
          <w:p>
            <w:pPr>
              <w:spacing w:after="0"/>
              <w:rPr>
                <w:sz w:val="17"/>
                <w:szCs w:val="17"/>
                <w:color w:val="auto"/>
              </w:rPr>
            </w:pPr>
          </w:p>
        </w:tc>
        <w:tc>
          <w:tcPr>
            <w:tcW w:w="380" w:type="dxa"/>
            <w:vAlign w:val="bottom"/>
            <w:tcBorders>
              <w:top w:val="single" w:sz="8" w:color="B6B6B6"/>
              <w:bottom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bottom w:val="single" w:sz="8" w:color="B6B6B6"/>
            </w:tcBorders>
          </w:tcPr>
          <w:p>
            <w:pPr>
              <w:jc w:val="right"/>
              <w:ind w:right="168"/>
              <w:spacing w:after="0"/>
              <w:rPr>
                <w:sz w:val="20"/>
                <w:szCs w:val="20"/>
                <w:color w:val="auto"/>
              </w:rPr>
            </w:pPr>
            <w:r>
              <w:rPr>
                <w:rFonts w:ascii="Arial" w:cs="Arial" w:eastAsia="Arial" w:hAnsi="Arial"/>
                <w:sz w:val="14"/>
                <w:szCs w:val="14"/>
                <w:color w:val="auto"/>
              </w:rPr>
              <w:t>26,894</w:t>
            </w:r>
          </w:p>
        </w:tc>
        <w:tc>
          <w:tcPr>
            <w:tcW w:w="100" w:type="dxa"/>
            <w:vAlign w:val="bottom"/>
          </w:tcPr>
          <w:p>
            <w:pPr>
              <w:spacing w:after="0"/>
              <w:rPr>
                <w:sz w:val="17"/>
                <w:szCs w:val="17"/>
                <w:color w:val="auto"/>
              </w:rPr>
            </w:pPr>
          </w:p>
        </w:tc>
        <w:tc>
          <w:tcPr>
            <w:tcW w:w="360" w:type="dxa"/>
            <w:vAlign w:val="bottom"/>
            <w:tcBorders>
              <w:top w:val="single" w:sz="8" w:color="B6B6B6"/>
              <w:bottom w:val="single" w:sz="8" w:color="B6B6B6"/>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bottom w:val="single" w:sz="8" w:color="B6B6B6"/>
            </w:tcBorders>
          </w:tcPr>
          <w:p>
            <w:pPr>
              <w:jc w:val="right"/>
              <w:ind w:right="148"/>
              <w:spacing w:after="0"/>
              <w:rPr>
                <w:sz w:val="20"/>
                <w:szCs w:val="20"/>
                <w:color w:val="auto"/>
              </w:rPr>
            </w:pPr>
            <w:r>
              <w:rPr>
                <w:rFonts w:ascii="Arial" w:cs="Arial" w:eastAsia="Arial" w:hAnsi="Arial"/>
                <w:sz w:val="14"/>
                <w:szCs w:val="14"/>
                <w:color w:val="auto"/>
              </w:rPr>
              <w:t>27,376</w:t>
            </w:r>
          </w:p>
        </w:tc>
        <w:tc>
          <w:tcPr>
            <w:tcW w:w="0" w:type="dxa"/>
            <w:vAlign w:val="bottom"/>
          </w:tcPr>
          <w:p>
            <w:pPr>
              <w:spacing w:after="0"/>
              <w:rPr>
                <w:sz w:val="1"/>
                <w:szCs w:val="1"/>
                <w:color w:val="auto"/>
              </w:rPr>
            </w:pPr>
          </w:p>
        </w:tc>
      </w:tr>
      <w:tr>
        <w:trPr>
          <w:trHeight w:val="27"/>
        </w:trPr>
        <w:tc>
          <w:tcPr>
            <w:tcW w:w="7700" w:type="dxa"/>
            <w:vAlign w:val="bottom"/>
            <w:vMerge w:val="restart"/>
          </w:tcPr>
          <w:p>
            <w:pPr>
              <w:ind w:left="20"/>
              <w:spacing w:after="0"/>
              <w:rPr>
                <w:sz w:val="20"/>
                <w:szCs w:val="20"/>
                <w:color w:val="auto"/>
              </w:rPr>
            </w:pPr>
            <w:r>
              <w:rPr>
                <w:rFonts w:ascii="Arial" w:cs="Arial" w:eastAsia="Arial" w:hAnsi="Arial"/>
                <w:sz w:val="14"/>
                <w:szCs w:val="14"/>
                <w:color w:val="auto"/>
              </w:rPr>
              <w:t>Adjusted EBITDA margin excluding Non-Encompass BPO Services</w:t>
            </w:r>
          </w:p>
        </w:tc>
        <w:tc>
          <w:tcPr>
            <w:tcW w:w="240" w:type="dxa"/>
            <w:vAlign w:val="bottom"/>
            <w:tcBorders>
              <w:bottom w:val="single" w:sz="8" w:color="929292"/>
            </w:tcBorders>
            <w:vMerge w:val="restart"/>
            <w:shd w:val="clear" w:color="auto" w:fill="929292"/>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1220" w:type="dxa"/>
            <w:vAlign w:val="bottom"/>
            <w:tcBorders>
              <w:bottom w:val="single" w:sz="8" w:color="B6B6B6"/>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B6B6B6"/>
            </w:tcBorders>
          </w:tcPr>
          <w:p>
            <w:pPr>
              <w:spacing w:after="0"/>
              <w:rPr>
                <w:sz w:val="2"/>
                <w:szCs w:val="2"/>
                <w:color w:val="auto"/>
              </w:rPr>
            </w:pPr>
          </w:p>
        </w:tc>
        <w:tc>
          <w:tcPr>
            <w:tcW w:w="122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240" w:type="dxa"/>
            <w:vAlign w:val="bottom"/>
            <w:vMerge w:val="continue"/>
            <w:shd w:val="clear" w:color="auto" w:fill="929292"/>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reconciliations of Adjusted EBITDA to Cash Adjusted EBITDA for the periods indicated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5023485" cy="1482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23485" cy="148272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EBITDA</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Beginning commissions receivable</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Beginning commissions payable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Beginning net contract assets</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Ending commissions receivable</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Ending commissions payable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Ending net contract assets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(Increase)/decrease in contract assets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Adjusted EBITDA</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60" w:type="dxa"/>
            <w:vAlign w:val="bottom"/>
          </w:tcPr>
          <w:p>
            <w:pPr>
              <w:spacing w:after="0"/>
              <w:rPr>
                <w:sz w:val="17"/>
                <w:szCs w:val="17"/>
                <w:color w:val="auto"/>
              </w:rPr>
            </w:pPr>
          </w:p>
        </w:tc>
        <w:tc>
          <w:tcPr>
            <w:tcW w:w="29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 Mar. 31,</w:t>
            </w:r>
          </w:p>
        </w:tc>
      </w:tr>
      <w:tr>
        <w:trPr>
          <w:trHeight w:val="203"/>
        </w:trPr>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b w:val="1"/>
                <w:bCs w:val="1"/>
                <w:color w:val="auto"/>
              </w:rPr>
              <w:t>2023</w:t>
            </w:r>
          </w:p>
        </w:tc>
      </w:tr>
      <w:tr>
        <w:trPr>
          <w:trHeight w:val="189"/>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26,894</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28,778</w:t>
            </w:r>
          </w:p>
        </w:tc>
      </w:tr>
      <w:tr>
        <w:trPr>
          <w:trHeight w:val="203"/>
        </w:trPr>
        <w:tc>
          <w:tcPr>
            <w:tcW w:w="360" w:type="dxa"/>
            <w:vAlign w:val="bottom"/>
          </w:tcPr>
          <w:p>
            <w:pPr>
              <w:spacing w:after="0"/>
              <w:rPr>
                <w:sz w:val="17"/>
                <w:szCs w:val="17"/>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911,697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1,031,433</w:t>
            </w:r>
          </w:p>
        </w:tc>
      </w:tr>
      <w:tr>
        <w:trPr>
          <w:trHeight w:val="207"/>
        </w:trPr>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(321,987)</w:t>
            </w:r>
          </w:p>
        </w:tc>
        <w:tc>
          <w:tcPr>
            <w:tcW w:w="100" w:type="dxa"/>
            <w:vAlign w:val="bottom"/>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(375,141)</w:t>
            </w:r>
          </w:p>
        </w:tc>
      </w:tr>
      <w:tr>
        <w:trPr>
          <w:trHeight w:val="196"/>
        </w:trPr>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589,710</w:t>
            </w:r>
          </w:p>
        </w:tc>
        <w:tc>
          <w:tcPr>
            <w:tcW w:w="100" w:type="dxa"/>
            <w:vAlign w:val="bottom"/>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656,292</w:t>
            </w:r>
          </w:p>
        </w:tc>
      </w:tr>
      <w:tr>
        <w:trPr>
          <w:trHeight w:val="192"/>
        </w:trPr>
        <w:tc>
          <w:tcPr>
            <w:tcW w:w="360" w:type="dxa"/>
            <w:vAlign w:val="bottom"/>
          </w:tcPr>
          <w:p>
            <w:pPr>
              <w:spacing w:after="0"/>
              <w:rPr>
                <w:sz w:val="16"/>
                <w:szCs w:val="16"/>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843,127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936,804</w:t>
            </w:r>
          </w:p>
        </w:tc>
      </w:tr>
      <w:tr>
        <w:trPr>
          <w:trHeight w:val="207"/>
        </w:trPr>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(296,549)</w:t>
            </w:r>
          </w:p>
        </w:tc>
        <w:tc>
          <w:tcPr>
            <w:tcW w:w="100" w:type="dxa"/>
            <w:vAlign w:val="bottom"/>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(329,435)</w:t>
            </w:r>
          </w:p>
        </w:tc>
      </w:tr>
      <w:tr>
        <w:trPr>
          <w:trHeight w:val="196"/>
        </w:trPr>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546,578</w:t>
            </w:r>
          </w:p>
        </w:tc>
        <w:tc>
          <w:tcPr>
            <w:tcW w:w="100" w:type="dxa"/>
            <w:vAlign w:val="bottom"/>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607,369</w:t>
            </w:r>
          </w:p>
        </w:tc>
      </w:tr>
      <w:tr>
        <w:trPr>
          <w:trHeight w:val="196"/>
        </w:trPr>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43,132</w:t>
            </w:r>
          </w:p>
        </w:tc>
        <w:tc>
          <w:tcPr>
            <w:tcW w:w="100" w:type="dxa"/>
            <w:vAlign w:val="bottom"/>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48,923</w:t>
            </w:r>
          </w:p>
        </w:tc>
      </w:tr>
      <w:tr>
        <w:trPr>
          <w:trHeight w:val="196"/>
        </w:trPr>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70,026</w:t>
            </w:r>
          </w:p>
        </w:tc>
        <w:tc>
          <w:tcPr>
            <w:tcW w:w="100" w:type="dxa"/>
            <w:vAlign w:val="bottom"/>
          </w:tcPr>
          <w:p>
            <w:pPr>
              <w:spacing w:after="0"/>
              <w:rPr>
                <w:sz w:val="17"/>
                <w:szCs w:val="17"/>
                <w:color w:val="auto"/>
              </w:rPr>
            </w:pPr>
          </w:p>
        </w:tc>
        <w:tc>
          <w:tcPr>
            <w:tcW w:w="380" w:type="dxa"/>
            <w:vAlign w:val="bottom"/>
            <w:tcBorders>
              <w:bottom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77,701</w:t>
            </w:r>
          </w:p>
        </w:tc>
      </w:tr>
      <w:tr>
        <w:trPr>
          <w:trHeight w:val="24"/>
        </w:trPr>
        <w:tc>
          <w:tcPr>
            <w:tcW w:w="360" w:type="dxa"/>
            <w:vAlign w:val="bottom"/>
            <w:tcBorders>
              <w:bottom w:val="single" w:sz="8" w:color="B6B6B6"/>
            </w:tcBorders>
          </w:tcPr>
          <w:p>
            <w:pPr>
              <w:spacing w:after="0"/>
              <w:rPr>
                <w:sz w:val="2"/>
                <w:szCs w:val="2"/>
                <w:color w:val="auto"/>
              </w:rPr>
            </w:pPr>
          </w:p>
        </w:tc>
        <w:tc>
          <w:tcPr>
            <w:tcW w:w="1240" w:type="dxa"/>
            <w:vAlign w:val="bottom"/>
            <w:tcBorders>
              <w:bottom w:val="single" w:sz="8" w:color="B6B6B6"/>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1220" w:type="dxa"/>
            <w:vAlign w:val="bottom"/>
            <w:tcBorders>
              <w:bottom w:val="single" w:sz="8" w:color="B6B6B6"/>
            </w:tcBorders>
          </w:tcPr>
          <w:p>
            <w:pPr>
              <w:spacing w:after="0"/>
              <w:rPr>
                <w:sz w:val="2"/>
                <w:szCs w:val="2"/>
                <w:color w:val="auto"/>
              </w:rPr>
            </w:pPr>
          </w:p>
        </w:tc>
      </w:tr>
    </w:tbl>
    <w:p>
      <w:pPr>
        <w:spacing w:after="0" w:line="188" w:lineRule="exact"/>
        <w:rPr>
          <w:sz w:val="20"/>
          <w:szCs w:val="20"/>
          <w:color w:val="auto"/>
        </w:rPr>
      </w:pPr>
    </w:p>
    <w:p>
      <w:pPr>
        <w:sectPr>
          <w:pgSz w:w="11900" w:h="16838" w:orient="portrait"/>
          <w:cols w:equalWidth="0" w:num="2">
            <w:col w:w="7200" w:space="720"/>
            <w:col w:w="3320"/>
          </w:cols>
          <w:pgMar w:left="320" w:top="922" w:right="339" w:bottom="1440" w:gutter="0" w:footer="0" w:header="0"/>
          <w:type w:val="continuous"/>
        </w:sectPr>
      </w:pPr>
    </w:p>
    <w:p>
      <w:pPr>
        <w:spacing w:after="0"/>
        <w:rPr>
          <w:sz w:val="20"/>
          <w:szCs w:val="20"/>
          <w:color w:val="auto"/>
        </w:rPr>
      </w:pPr>
      <w:r>
        <w:rPr>
          <w:rFonts w:ascii="Arial" w:cs="Arial" w:eastAsia="Arial" w:hAnsi="Arial"/>
          <w:sz w:val="16"/>
          <w:szCs w:val="16"/>
          <w:color w:val="auto"/>
        </w:rPr>
        <w:t>The table below depicts the disaggregation of revenue and is consistent with how the Company evaluates its financial performance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 Mar. 31,</w:t>
            </w:r>
          </w:p>
        </w:tc>
      </w:tr>
      <w:tr>
        <w:trPr>
          <w:trHeight w:val="197"/>
        </w:trPr>
        <w:tc>
          <w:tcPr>
            <w:tcW w:w="782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b w:val="1"/>
                <w:bCs w:val="1"/>
                <w:color w:val="auto"/>
              </w:rPr>
              <w:t>2023</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Medicare Revenue</w:t>
            </w:r>
          </w:p>
        </w:tc>
        <w:tc>
          <w:tcPr>
            <w:tcW w:w="100" w:type="dxa"/>
            <w:vAlign w:val="bottom"/>
            <w:shd w:val="clear" w:color="auto" w:fill="929292"/>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3"/>
        </w:trPr>
        <w:tc>
          <w:tcPr>
            <w:tcW w:w="7820" w:type="dxa"/>
            <w:vAlign w:val="bottom"/>
          </w:tcPr>
          <w:p>
            <w:pPr>
              <w:ind w:left="240"/>
              <w:spacing w:after="0"/>
              <w:rPr>
                <w:sz w:val="20"/>
                <w:szCs w:val="20"/>
                <w:color w:val="auto"/>
              </w:rPr>
            </w:pPr>
            <w:r>
              <w:rPr>
                <w:rFonts w:ascii="Arial" w:cs="Arial" w:eastAsia="Arial" w:hAnsi="Arial"/>
                <w:sz w:val="14"/>
                <w:szCs w:val="14"/>
                <w:color w:val="auto"/>
              </w:rPr>
              <w:t>Agency Revenue</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5"/>
        </w:trPr>
        <w:tc>
          <w:tcPr>
            <w:tcW w:w="7820" w:type="dxa"/>
            <w:vAlign w:val="bottom"/>
          </w:tcPr>
          <w:p>
            <w:pPr>
              <w:ind w:left="460"/>
              <w:spacing w:after="0"/>
              <w:rPr>
                <w:sz w:val="20"/>
                <w:szCs w:val="20"/>
                <w:color w:val="auto"/>
              </w:rPr>
            </w:pPr>
            <w:r>
              <w:rPr>
                <w:rFonts w:ascii="Arial" w:cs="Arial" w:eastAsia="Arial" w:hAnsi="Arial"/>
                <w:sz w:val="14"/>
                <w:szCs w:val="14"/>
                <w:color w:val="auto"/>
              </w:rPr>
              <w:t>Commission Revenue</w:t>
            </w:r>
            <w:r>
              <w:rPr>
                <w:rFonts w:ascii="Arial" w:cs="Arial" w:eastAsia="Arial" w:hAnsi="Arial"/>
                <w:sz w:val="18"/>
                <w:szCs w:val="18"/>
                <w:color w:val="auto"/>
                <w:vertAlign w:val="superscript"/>
              </w:rPr>
              <w:t>(1)</w:t>
            </w:r>
          </w:p>
        </w:tc>
        <w:tc>
          <w:tcPr>
            <w:tcW w:w="100" w:type="dxa"/>
            <w:vAlign w:val="bottom"/>
            <w:shd w:val="clear" w:color="auto" w:fill="929292"/>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79,733</w:t>
            </w:r>
          </w:p>
        </w:tc>
        <w:tc>
          <w:tcPr>
            <w:tcW w:w="10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97,531</w:t>
            </w:r>
          </w:p>
        </w:tc>
      </w:tr>
      <w:tr>
        <w:trPr>
          <w:trHeight w:val="192"/>
        </w:trPr>
        <w:tc>
          <w:tcPr>
            <w:tcW w:w="7820" w:type="dxa"/>
            <w:vAlign w:val="bottom"/>
          </w:tcPr>
          <w:p>
            <w:pPr>
              <w:ind w:left="460"/>
              <w:spacing w:after="0"/>
              <w:rPr>
                <w:sz w:val="20"/>
                <w:szCs w:val="20"/>
                <w:color w:val="auto"/>
              </w:rPr>
            </w:pPr>
            <w:r>
              <w:rPr>
                <w:rFonts w:ascii="Arial" w:cs="Arial" w:eastAsia="Arial" w:hAnsi="Arial"/>
                <w:sz w:val="14"/>
                <w:szCs w:val="14"/>
                <w:color w:val="auto"/>
              </w:rPr>
              <w:t>Partner Marketing and Other Revenue</w:t>
            </w:r>
          </w:p>
        </w:tc>
        <w:tc>
          <w:tcPr>
            <w:tcW w:w="100" w:type="dxa"/>
            <w:vAlign w:val="bottom"/>
            <w:tcBorders>
              <w:bottom w:val="single" w:sz="8" w:color="929292"/>
            </w:tcBorders>
            <w:shd w:val="clear" w:color="auto" w:fill="929292"/>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2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19,391</w:t>
            </w:r>
          </w:p>
        </w:tc>
        <w:tc>
          <w:tcPr>
            <w:tcW w:w="100" w:type="dxa"/>
            <w:vAlign w:val="bottom"/>
          </w:tcPr>
          <w:p>
            <w:pPr>
              <w:spacing w:after="0"/>
              <w:rPr>
                <w:sz w:val="16"/>
                <w:szCs w:val="16"/>
                <w:color w:val="auto"/>
              </w:rPr>
            </w:pPr>
          </w:p>
        </w:tc>
        <w:tc>
          <w:tcPr>
            <w:tcW w:w="380" w:type="dxa"/>
            <w:vAlign w:val="bottom"/>
            <w:tcBorders>
              <w:bottom w:val="single" w:sz="8" w:color="B6B6B6"/>
            </w:tcBorders>
          </w:tcPr>
          <w:p>
            <w:pPr>
              <w:spacing w:after="0"/>
              <w:rPr>
                <w:sz w:val="16"/>
                <w:szCs w:val="16"/>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27,124</w:t>
            </w:r>
          </w:p>
        </w:tc>
      </w:tr>
      <w:tr>
        <w:trPr>
          <w:trHeight w:val="196"/>
        </w:trPr>
        <w:tc>
          <w:tcPr>
            <w:tcW w:w="7820" w:type="dxa"/>
            <w:vAlign w:val="bottom"/>
          </w:tcPr>
          <w:p>
            <w:pPr>
              <w:ind w:left="180"/>
              <w:spacing w:after="0"/>
              <w:rPr>
                <w:sz w:val="20"/>
                <w:szCs w:val="20"/>
                <w:color w:val="auto"/>
              </w:rPr>
            </w:pPr>
            <w:r>
              <w:rPr>
                <w:rFonts w:ascii="Arial" w:cs="Arial" w:eastAsia="Arial" w:hAnsi="Arial"/>
                <w:sz w:val="14"/>
                <w:szCs w:val="14"/>
                <w:color w:val="auto"/>
              </w:rPr>
              <w:t>Total Agency Revenue</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99,124</w:t>
            </w:r>
          </w:p>
        </w:tc>
        <w:tc>
          <w:tcPr>
            <w:tcW w:w="100" w:type="dxa"/>
            <w:vAlign w:val="bottom"/>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124,655</w:t>
            </w:r>
          </w:p>
        </w:tc>
      </w:tr>
      <w:tr>
        <w:trPr>
          <w:trHeight w:val="196"/>
        </w:trPr>
        <w:tc>
          <w:tcPr>
            <w:tcW w:w="7820" w:type="dxa"/>
            <w:vAlign w:val="bottom"/>
          </w:tcPr>
          <w:p>
            <w:pPr>
              <w:ind w:left="180"/>
              <w:spacing w:after="0"/>
              <w:rPr>
                <w:sz w:val="20"/>
                <w:szCs w:val="20"/>
                <w:color w:val="auto"/>
              </w:rPr>
            </w:pPr>
            <w:r>
              <w:rPr>
                <w:rFonts w:ascii="Arial" w:cs="Arial" w:eastAsia="Arial" w:hAnsi="Arial"/>
                <w:sz w:val="14"/>
                <w:szCs w:val="14"/>
                <w:color w:val="auto"/>
              </w:rPr>
              <w:t>Non-Agency Revenue</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85,902</w:t>
            </w:r>
          </w:p>
        </w:tc>
        <w:tc>
          <w:tcPr>
            <w:tcW w:w="100" w:type="dxa"/>
            <w:vAlign w:val="bottom"/>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44,972</w:t>
            </w:r>
          </w:p>
        </w:tc>
      </w:tr>
      <w:tr>
        <w:trPr>
          <w:trHeight w:val="196"/>
        </w:trPr>
        <w:tc>
          <w:tcPr>
            <w:tcW w:w="7820" w:type="dxa"/>
            <w:vAlign w:val="bottom"/>
          </w:tcPr>
          <w:p>
            <w:pPr>
              <w:ind w:left="20"/>
              <w:spacing w:after="0"/>
              <w:rPr>
                <w:sz w:val="20"/>
                <w:szCs w:val="20"/>
                <w:color w:val="auto"/>
              </w:rPr>
            </w:pPr>
            <w:r>
              <w:rPr>
                <w:rFonts w:ascii="Arial" w:cs="Arial" w:eastAsia="Arial" w:hAnsi="Arial"/>
                <w:sz w:val="14"/>
                <w:szCs w:val="14"/>
                <w:color w:val="auto"/>
              </w:rPr>
              <w:t>Total Medicare Revenue</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185,026</w:t>
            </w:r>
          </w:p>
        </w:tc>
        <w:tc>
          <w:tcPr>
            <w:tcW w:w="100" w:type="dxa"/>
            <w:vAlign w:val="bottom"/>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169,627</w:t>
            </w:r>
          </w:p>
        </w:tc>
      </w:tr>
      <w:tr>
        <w:trPr>
          <w:trHeight w:val="181"/>
        </w:trPr>
        <w:tc>
          <w:tcPr>
            <w:tcW w:w="782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100" w:type="dxa"/>
            <w:vAlign w:val="bottom"/>
            <w:shd w:val="clear" w:color="auto" w:fill="929292"/>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3"/>
        </w:trPr>
        <w:tc>
          <w:tcPr>
            <w:tcW w:w="7820" w:type="dxa"/>
            <w:vAlign w:val="bottom"/>
          </w:tcPr>
          <w:p>
            <w:pPr>
              <w:ind w:left="240"/>
              <w:spacing w:after="0"/>
              <w:rPr>
                <w:sz w:val="20"/>
                <w:szCs w:val="20"/>
                <w:color w:val="auto"/>
              </w:rPr>
            </w:pPr>
            <w:r>
              <w:rPr>
                <w:rFonts w:ascii="Arial" w:cs="Arial" w:eastAsia="Arial" w:hAnsi="Arial"/>
                <w:sz w:val="14"/>
                <w:szCs w:val="14"/>
                <w:color w:val="auto"/>
              </w:rPr>
              <w:t>Non-Encompass BPO Services Revenue</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6,794</w:t>
            </w:r>
          </w:p>
        </w:tc>
      </w:tr>
      <w:tr>
        <w:trPr>
          <w:trHeight w:val="204"/>
        </w:trPr>
        <w:tc>
          <w:tcPr>
            <w:tcW w:w="7820" w:type="dxa"/>
            <w:vAlign w:val="bottom"/>
          </w:tcPr>
          <w:p>
            <w:pPr>
              <w:ind w:left="24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6,737</w:t>
            </w:r>
          </w:p>
        </w:tc>
      </w:tr>
      <w:tr>
        <w:trPr>
          <w:trHeight w:val="198"/>
        </w:trPr>
        <w:tc>
          <w:tcPr>
            <w:tcW w:w="7820" w:type="dxa"/>
            <w:vAlign w:val="bottom"/>
          </w:tcPr>
          <w:p>
            <w:pPr>
              <w:ind w:left="20"/>
              <w:spacing w:after="0"/>
              <w:rPr>
                <w:sz w:val="20"/>
                <w:szCs w:val="20"/>
                <w:color w:val="auto"/>
              </w:rPr>
            </w:pPr>
            <w:r>
              <w:rPr>
                <w:rFonts w:ascii="Arial" w:cs="Arial" w:eastAsia="Arial" w:hAnsi="Arial"/>
                <w:sz w:val="14"/>
                <w:szCs w:val="14"/>
                <w:color w:val="auto"/>
              </w:rPr>
              <w:t>Total Other Revenue</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13,531</w:t>
            </w:r>
          </w:p>
        </w:tc>
      </w:tr>
      <w:tr>
        <w:trPr>
          <w:trHeight w:val="220"/>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Total Net Revenues</w:t>
            </w:r>
          </w:p>
        </w:tc>
        <w:tc>
          <w:tcPr>
            <w:tcW w:w="100" w:type="dxa"/>
            <w:vAlign w:val="bottom"/>
            <w:tcBorders>
              <w:bottom w:val="single" w:sz="8" w:color="929292"/>
            </w:tcBorders>
            <w:shd w:val="clear" w:color="auto" w:fill="929292"/>
          </w:tcPr>
          <w:p>
            <w:pPr>
              <w:spacing w:after="0"/>
              <w:rPr>
                <w:sz w:val="19"/>
                <w:szCs w:val="19"/>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185,600</w:t>
            </w:r>
          </w:p>
        </w:tc>
        <w:tc>
          <w:tcPr>
            <w:tcW w:w="100" w:type="dxa"/>
            <w:vAlign w:val="bottom"/>
          </w:tcPr>
          <w:p>
            <w:pPr>
              <w:spacing w:after="0"/>
              <w:rPr>
                <w:sz w:val="19"/>
                <w:szCs w:val="19"/>
                <w:color w:val="auto"/>
              </w:rPr>
            </w:pPr>
          </w:p>
        </w:tc>
        <w:tc>
          <w:tcPr>
            <w:tcW w:w="380" w:type="dxa"/>
            <w:vAlign w:val="bottom"/>
            <w:tcBorders>
              <w:bottom w:val="single" w:sz="8" w:color="B6B6B6"/>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183,158</w:t>
            </w:r>
          </w:p>
        </w:tc>
      </w:tr>
      <w:tr>
        <w:trPr>
          <w:trHeight w:val="20"/>
        </w:trPr>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12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B6B6B6"/>
            </w:tcBorders>
          </w:tcPr>
          <w:p>
            <w:pPr>
              <w:spacing w:after="0" w:line="20" w:lineRule="exact"/>
              <w:rPr>
                <w:sz w:val="1"/>
                <w:szCs w:val="1"/>
                <w:color w:val="auto"/>
              </w:rPr>
            </w:pPr>
          </w:p>
        </w:tc>
        <w:tc>
          <w:tcPr>
            <w:tcW w:w="1220" w:type="dxa"/>
            <w:vAlign w:val="bottom"/>
            <w:tcBorders>
              <w:bottom w:val="single" w:sz="8" w:color="B6B6B6"/>
            </w:tcBorders>
          </w:tcPr>
          <w:p>
            <w:pPr>
              <w:spacing w:after="0" w:line="20" w:lineRule="exact"/>
              <w:rPr>
                <w:sz w:val="1"/>
                <w:szCs w:val="1"/>
                <w:color w:val="auto"/>
              </w:rPr>
            </w:pPr>
          </w:p>
        </w:tc>
      </w:tr>
    </w:tbl>
    <w:p>
      <w:pPr>
        <w:spacing w:after="0" w:line="18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Commission revenue excludes commissions generated through the Company’s Non-Encompass BPO Services as well as from the sale of individual and family plan insurance products.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(benefit) by operating function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 Mar. 31,</w:t>
            </w:r>
          </w:p>
        </w:tc>
      </w:tr>
      <w:tr>
        <w:trPr>
          <w:trHeight w:val="197"/>
        </w:trPr>
        <w:tc>
          <w:tcPr>
            <w:tcW w:w="782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b w:val="1"/>
                <w:bCs w:val="1"/>
                <w:color w:val="auto"/>
              </w:rPr>
              <w:t>2023</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3"/>
        </w:trPr>
        <w:tc>
          <w:tcPr>
            <w:tcW w:w="7820" w:type="dxa"/>
            <w:vAlign w:val="bottom"/>
          </w:tcPr>
          <w:p>
            <w:pPr>
              <w:ind w:left="20"/>
              <w:spacing w:after="0"/>
              <w:rPr>
                <w:sz w:val="20"/>
                <w:szCs w:val="20"/>
                <w:color w:val="auto"/>
              </w:rPr>
            </w:pPr>
            <w:r>
              <w:rPr>
                <w:rFonts w:ascii="Arial" w:cs="Arial" w:eastAsia="Arial" w:hAnsi="Arial"/>
                <w:sz w:val="14"/>
                <w:szCs w:val="14"/>
                <w:color w:val="auto"/>
              </w:rPr>
              <w:t>Customer care and enrollment</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604</w:t>
            </w:r>
          </w:p>
        </w:tc>
      </w:tr>
      <w:tr>
        <w:trPr>
          <w:trHeight w:val="203"/>
        </w:trPr>
        <w:tc>
          <w:tcPr>
            <w:tcW w:w="782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767</w:t>
            </w:r>
          </w:p>
        </w:tc>
      </w:tr>
      <w:tr>
        <w:trPr>
          <w:trHeight w:val="206"/>
        </w:trPr>
        <w:tc>
          <w:tcPr>
            <w:tcW w:w="7820" w:type="dxa"/>
            <w:vAlign w:val="bottom"/>
          </w:tcPr>
          <w:p>
            <w:pPr>
              <w:ind w:left="2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9"/>
                <w:szCs w:val="9"/>
                <w:color w:val="auto"/>
              </w:rPr>
              <w:t>(1)</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17"/>
                <w:szCs w:val="17"/>
                <w:color w:val="auto"/>
              </w:rPr>
            </w:pPr>
          </w:p>
        </w:tc>
        <w:tc>
          <w:tcPr>
            <w:tcW w:w="38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5,147</w:t>
            </w:r>
          </w:p>
        </w:tc>
      </w:tr>
      <w:tr>
        <w:trPr>
          <w:trHeight w:val="220"/>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Total share-based compensation expense (benefit)</w:t>
            </w:r>
          </w:p>
        </w:tc>
        <w:tc>
          <w:tcPr>
            <w:tcW w:w="100" w:type="dxa"/>
            <w:vAlign w:val="bottom"/>
            <w:tcBorders>
              <w:bottom w:val="single" w:sz="8" w:color="929292"/>
            </w:tcBorders>
            <w:shd w:val="clear" w:color="auto" w:fill="929292"/>
          </w:tcPr>
          <w:p>
            <w:pPr>
              <w:spacing w:after="0"/>
              <w:rPr>
                <w:sz w:val="19"/>
                <w:szCs w:val="19"/>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1,783</w:t>
            </w:r>
          </w:p>
        </w:tc>
        <w:tc>
          <w:tcPr>
            <w:tcW w:w="100" w:type="dxa"/>
            <w:vAlign w:val="bottom"/>
          </w:tcPr>
          <w:p>
            <w:pPr>
              <w:spacing w:after="0"/>
              <w:rPr>
                <w:sz w:val="19"/>
                <w:szCs w:val="19"/>
                <w:color w:val="auto"/>
              </w:rPr>
            </w:pPr>
          </w:p>
        </w:tc>
        <w:tc>
          <w:tcPr>
            <w:tcW w:w="380" w:type="dxa"/>
            <w:vAlign w:val="bottom"/>
            <w:tcBorders>
              <w:bottom w:val="single" w:sz="8" w:color="B6B6B6"/>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6,584</w:t>
            </w:r>
          </w:p>
        </w:tc>
      </w:tr>
      <w:tr>
        <w:trPr>
          <w:trHeight w:val="20"/>
        </w:trPr>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12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B6B6B6"/>
            </w:tcBorders>
          </w:tcPr>
          <w:p>
            <w:pPr>
              <w:spacing w:after="0" w:line="20" w:lineRule="exact"/>
              <w:rPr>
                <w:sz w:val="1"/>
                <w:szCs w:val="1"/>
                <w:color w:val="auto"/>
              </w:rPr>
            </w:pPr>
          </w:p>
        </w:tc>
        <w:tc>
          <w:tcPr>
            <w:tcW w:w="1220" w:type="dxa"/>
            <w:vAlign w:val="bottom"/>
            <w:tcBorders>
              <w:bottom w:val="single" w:sz="8" w:color="B6B6B6"/>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(1) For the three months ended March 31, 2024 and 2023, share-based compensation expense includes expense related to the stock appreciation rights (“SARs”), which are liability classified awards.</w:t>
      </w:r>
    </w:p>
    <w:p>
      <w:pPr>
        <w:sectPr>
          <w:pgSz w:w="11900" w:h="16838" w:orient="portrait"/>
          <w:cols w:equalWidth="0" w:num="1">
            <w:col w:w="11240"/>
          </w:cols>
          <w:pgMar w:left="320" w:top="922"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922"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 31, 2024</w:t>
            </w:r>
          </w:p>
        </w:tc>
        <w:tc>
          <w:tcPr>
            <w:tcW w:w="1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Dec. 31, 2023</w:t>
            </w:r>
          </w:p>
        </w:tc>
        <w:tc>
          <w:tcPr>
            <w:tcW w:w="0" w:type="dxa"/>
            <w:vAlign w:val="bottom"/>
          </w:tcPr>
          <w:p>
            <w:pPr>
              <w:spacing w:after="0"/>
              <w:rPr>
                <w:sz w:val="1"/>
                <w:szCs w:val="1"/>
                <w:color w:val="auto"/>
              </w:rPr>
            </w:pPr>
          </w:p>
        </w:tc>
      </w:tr>
      <w:tr>
        <w:trPr>
          <w:trHeight w:val="194"/>
        </w:trPr>
        <w:tc>
          <w:tcPr>
            <w:tcW w:w="8480" w:type="dxa"/>
            <w:vAlign w:val="bottom"/>
            <w:tcBorders>
              <w:top w:val="single" w:sz="8" w:color="B6B6B6"/>
            </w:tcBorders>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B6B6B6"/>
            </w:tcBorders>
            <w:shd w:val="clear" w:color="auto" w:fill="929292"/>
          </w:tcPr>
          <w:p>
            <w:pPr>
              <w:spacing w:after="0"/>
              <w:rPr>
                <w:sz w:val="16"/>
                <w:szCs w:val="16"/>
                <w:color w:val="auto"/>
              </w:rPr>
            </w:pPr>
          </w:p>
        </w:tc>
        <w:tc>
          <w:tcPr>
            <w:tcW w:w="160" w:type="dxa"/>
            <w:vAlign w:val="bottom"/>
            <w:tcBorders>
              <w:top w:val="single" w:sz="8" w:color="B6B6B6"/>
            </w:tcBorders>
          </w:tcPr>
          <w:p>
            <w:pPr>
              <w:spacing w:after="0"/>
              <w:rPr>
                <w:sz w:val="16"/>
                <w:szCs w:val="16"/>
                <w:color w:val="auto"/>
              </w:rPr>
            </w:pPr>
          </w:p>
        </w:tc>
        <w:tc>
          <w:tcPr>
            <w:tcW w:w="1120" w:type="dxa"/>
            <w:vAlign w:val="bottom"/>
            <w:tcBorders>
              <w:top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B6B6B6"/>
            </w:tcBorders>
          </w:tcPr>
          <w:p>
            <w:pPr>
              <w:spacing w:after="0"/>
              <w:rPr>
                <w:sz w:val="16"/>
                <w:szCs w:val="16"/>
                <w:color w:val="auto"/>
              </w:rPr>
            </w:pPr>
          </w:p>
        </w:tc>
        <w:tc>
          <w:tcPr>
            <w:tcW w:w="1140" w:type="dxa"/>
            <w:vAlign w:val="bottom"/>
            <w:tcBorders>
              <w:top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480" w:type="dxa"/>
            <w:vAlign w:val="bottom"/>
          </w:tcPr>
          <w:p>
            <w:pPr>
              <w:ind w:left="20"/>
              <w:spacing w:after="0"/>
              <w:rPr>
                <w:sz w:val="20"/>
                <w:szCs w:val="20"/>
                <w:color w:val="auto"/>
              </w:rPr>
            </w:pPr>
            <w:r>
              <w:rPr>
                <w:rFonts w:ascii="Arial" w:cs="Arial" w:eastAsia="Arial" w:hAnsi="Arial"/>
                <w:sz w:val="14"/>
                <w:szCs w:val="14"/>
                <w:i w:val="1"/>
                <w:iCs w:val="1"/>
                <w:color w:val="auto"/>
              </w:rPr>
              <w:t>Current assets: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929292"/>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97,818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90,809</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Accounts receivable, net of allowance for doubtful accounts of $6 in 2024 and $27 in 2023</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Commissions receivable - current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269,799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336,215</w:t>
            </w:r>
          </w:p>
        </w:tc>
        <w:tc>
          <w:tcPr>
            <w:tcW w:w="0" w:type="dxa"/>
            <w:vAlign w:val="bottom"/>
          </w:tcPr>
          <w:p>
            <w:pPr>
              <w:spacing w:after="0"/>
              <w:rPr>
                <w:sz w:val="1"/>
                <w:szCs w:val="1"/>
                <w:color w:val="auto"/>
              </w:rPr>
            </w:pPr>
          </w:p>
        </w:tc>
      </w:tr>
      <w:tr>
        <w:trPr>
          <w:trHeight w:val="204"/>
        </w:trPr>
        <w:tc>
          <w:tcPr>
            <w:tcW w:w="8480" w:type="dxa"/>
            <w:vAlign w:val="bottom"/>
          </w:tcPr>
          <w:p>
            <w:pPr>
              <w:ind w:left="240"/>
              <w:spacing w:after="0"/>
              <w:rPr>
                <w:sz w:val="20"/>
                <w:szCs w:val="20"/>
                <w:color w:val="auto"/>
              </w:rPr>
            </w:pPr>
            <w:r>
              <w:rPr>
                <w:rFonts w:ascii="Arial" w:cs="Arial" w:eastAsia="Arial" w:hAnsi="Arial"/>
                <w:sz w:val="14"/>
                <w:szCs w:val="14"/>
                <w:color w:val="auto"/>
              </w:rPr>
              <w:t>Prepaid expense and other current assets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20,254</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49,166</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397,097</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476,440</w:t>
            </w:r>
          </w:p>
        </w:tc>
        <w:tc>
          <w:tcPr>
            <w:tcW w:w="0" w:type="dxa"/>
            <w:vAlign w:val="bottom"/>
          </w:tcPr>
          <w:p>
            <w:pPr>
              <w:spacing w:after="0"/>
              <w:rPr>
                <w:sz w:val="1"/>
                <w:szCs w:val="1"/>
                <w:color w:val="auto"/>
              </w:rPr>
            </w:pPr>
          </w:p>
        </w:tc>
      </w:tr>
      <w:tr>
        <w:trPr>
          <w:trHeight w:val="194"/>
        </w:trPr>
        <w:tc>
          <w:tcPr>
            <w:tcW w:w="8480" w:type="dxa"/>
            <w:vAlign w:val="bottom"/>
          </w:tcPr>
          <w:p>
            <w:pPr>
              <w:ind w:left="20"/>
              <w:spacing w:after="0"/>
              <w:rPr>
                <w:sz w:val="20"/>
                <w:szCs w:val="20"/>
                <w:color w:val="auto"/>
              </w:rPr>
            </w:pPr>
            <w:r>
              <w:rPr>
                <w:rFonts w:ascii="Arial" w:cs="Arial" w:eastAsia="Arial" w:hAnsi="Arial"/>
                <w:sz w:val="14"/>
                <w:szCs w:val="14"/>
                <w:color w:val="auto"/>
              </w:rPr>
              <w:t>Commissions receivable - non-current</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573,328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575,482</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Operating lease ROU asset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21,008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21,995</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Property, equipment, and capitalized software, net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28,667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26,843</w:t>
            </w:r>
          </w:p>
        </w:tc>
        <w:tc>
          <w:tcPr>
            <w:tcW w:w="0" w:type="dxa"/>
            <w:vAlign w:val="bottom"/>
          </w:tcPr>
          <w:p>
            <w:pPr>
              <w:spacing w:after="0"/>
              <w:rPr>
                <w:sz w:val="1"/>
                <w:szCs w:val="1"/>
                <w:color w:val="auto"/>
              </w:rPr>
            </w:pPr>
          </w:p>
        </w:tc>
      </w:tr>
      <w:tr>
        <w:trPr>
          <w:trHeight w:val="204"/>
        </w:trPr>
        <w:tc>
          <w:tcPr>
            <w:tcW w:w="84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373,040</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396,554</w:t>
            </w:r>
          </w:p>
        </w:tc>
        <w:tc>
          <w:tcPr>
            <w:tcW w:w="0" w:type="dxa"/>
            <w:vAlign w:val="bottom"/>
          </w:tcPr>
          <w:p>
            <w:pPr>
              <w:spacing w:after="0"/>
              <w:rPr>
                <w:sz w:val="1"/>
                <w:szCs w:val="1"/>
                <w:color w:val="auto"/>
              </w:rPr>
            </w:pPr>
          </w:p>
        </w:tc>
      </w:tr>
      <w:tr>
        <w:trPr>
          <w:trHeight w:val="200"/>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1,395,258</w:t>
            </w:r>
          </w:p>
        </w:tc>
        <w:tc>
          <w:tcPr>
            <w:tcW w:w="100" w:type="dxa"/>
            <w:vAlign w:val="bottom"/>
          </w:tcPr>
          <w:p>
            <w:pPr>
              <w:spacing w:after="0"/>
              <w:rPr>
                <w:sz w:val="17"/>
                <w:szCs w:val="17"/>
                <w:color w:val="auto"/>
              </w:rPr>
            </w:pPr>
          </w:p>
        </w:tc>
        <w:tc>
          <w:tcPr>
            <w:tcW w:w="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1,499,570</w:t>
            </w:r>
          </w:p>
        </w:tc>
        <w:tc>
          <w:tcPr>
            <w:tcW w:w="0" w:type="dxa"/>
            <w:vAlign w:val="bottom"/>
          </w:tcPr>
          <w:p>
            <w:pPr>
              <w:spacing w:after="0"/>
              <w:rPr>
                <w:sz w:val="1"/>
                <w:szCs w:val="1"/>
                <w:color w:val="auto"/>
              </w:rPr>
            </w:pPr>
          </w:p>
        </w:tc>
      </w:tr>
      <w:tr>
        <w:trPr>
          <w:trHeight w:val="23"/>
        </w:trPr>
        <w:tc>
          <w:tcPr>
            <w:tcW w:w="8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Equity</w:t>
            </w:r>
          </w:p>
        </w:tc>
        <w:tc>
          <w:tcPr>
            <w:tcW w:w="80" w:type="dxa"/>
            <w:vAlign w:val="bottom"/>
            <w:tcBorders>
              <w:bottom w:val="single" w:sz="8" w:color="929292"/>
            </w:tcBorders>
            <w:shd w:val="clear" w:color="auto" w:fill="929292"/>
          </w:tcPr>
          <w:p>
            <w:pPr>
              <w:spacing w:after="0" w:line="20" w:lineRule="exact"/>
              <w:rPr>
                <w:sz w:val="1"/>
                <w:szCs w:val="1"/>
                <w:color w:val="auto"/>
              </w:rPr>
            </w:pPr>
          </w:p>
        </w:tc>
        <w:tc>
          <w:tcPr>
            <w:tcW w:w="160" w:type="dxa"/>
            <w:vAlign w:val="bottom"/>
            <w:tcBorders>
              <w:bottom w:val="single" w:sz="8" w:color="B6B6B6"/>
            </w:tcBorders>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8480" w:type="dxa"/>
            <w:vAlign w:val="bottom"/>
            <w:vMerge w:val="continue"/>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480" w:type="dxa"/>
            <w:vAlign w:val="bottom"/>
          </w:tcPr>
          <w:p>
            <w:pPr>
              <w:ind w:left="20"/>
              <w:spacing w:after="0"/>
              <w:rPr>
                <w:sz w:val="20"/>
                <w:szCs w:val="20"/>
                <w:color w:val="auto"/>
              </w:rPr>
            </w:pPr>
            <w:r>
              <w:rPr>
                <w:rFonts w:ascii="Arial" w:cs="Arial" w:eastAsia="Arial" w:hAnsi="Arial"/>
                <w:sz w:val="14"/>
                <w:szCs w:val="14"/>
                <w:i w:val="1"/>
                <w:iCs w:val="1"/>
                <w:color w:val="auto"/>
              </w:rPr>
              <w:t>Current liabilities: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80" w:type="dxa"/>
            <w:vAlign w:val="bottom"/>
            <w:shd w:val="clear" w:color="auto" w:fill="929292"/>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5,773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17,705</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Accrued liabilities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66,595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86,254</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Commissions payable - current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94,896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118,732</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Short-term operating lease liability</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5,797</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38,723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52,403</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Current portion of long-term debt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204"/>
        </w:trPr>
        <w:tc>
          <w:tcPr>
            <w:tcW w:w="8480" w:type="dxa"/>
            <w:vAlign w:val="bottom"/>
          </w:tcPr>
          <w:p>
            <w:pPr>
              <w:ind w:left="240"/>
              <w:spacing w:after="0"/>
              <w:rPr>
                <w:sz w:val="20"/>
                <w:szCs w:val="20"/>
                <w:color w:val="auto"/>
              </w:rPr>
            </w:pPr>
            <w:r>
              <w:rPr>
                <w:rFonts w:ascii="Arial" w:cs="Arial" w:eastAsia="Arial" w:hAnsi="Arial"/>
                <w:sz w:val="14"/>
                <w:szCs w:val="14"/>
                <w:color w:val="auto"/>
              </w:rPr>
              <w:t>Other current liabilities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13,707</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14,122</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300,003</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370,013</w:t>
            </w:r>
          </w:p>
        </w:tc>
        <w:tc>
          <w:tcPr>
            <w:tcW w:w="0" w:type="dxa"/>
            <w:vAlign w:val="bottom"/>
          </w:tcPr>
          <w:p>
            <w:pPr>
              <w:spacing w:after="0"/>
              <w:rPr>
                <w:sz w:val="1"/>
                <w:szCs w:val="1"/>
                <w:color w:val="auto"/>
              </w:rPr>
            </w:pPr>
          </w:p>
        </w:tc>
      </w:tr>
      <w:tr>
        <w:trPr>
          <w:trHeight w:val="181"/>
        </w:trPr>
        <w:tc>
          <w:tcPr>
            <w:tcW w:w="8480" w:type="dxa"/>
            <w:vAlign w:val="bottom"/>
          </w:tcPr>
          <w:p>
            <w:pPr>
              <w:ind w:left="20"/>
              <w:spacing w:after="0"/>
              <w:rPr>
                <w:sz w:val="20"/>
                <w:szCs w:val="20"/>
                <w:color w:val="auto"/>
              </w:rPr>
            </w:pPr>
            <w:r>
              <w:rPr>
                <w:rFonts w:ascii="Arial" w:cs="Arial" w:eastAsia="Arial" w:hAnsi="Arial"/>
                <w:sz w:val="14"/>
                <w:szCs w:val="14"/>
                <w:i w:val="1"/>
                <w:iCs w:val="1"/>
                <w:color w:val="auto"/>
              </w:rPr>
              <w:t>Non-current liabilities:</w:t>
            </w:r>
          </w:p>
        </w:tc>
        <w:tc>
          <w:tcPr>
            <w:tcW w:w="80" w:type="dxa"/>
            <w:vAlign w:val="bottom"/>
            <w:shd w:val="clear" w:color="auto" w:fill="929292"/>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Commissions payable - non-current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201,653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203,255</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Long-term operating lease liability</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38,198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39,547</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Long-term debt, net of current portion</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410,324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422,705</w:t>
            </w:r>
          </w:p>
        </w:tc>
        <w:tc>
          <w:tcPr>
            <w:tcW w:w="0" w:type="dxa"/>
            <w:vAlign w:val="bottom"/>
          </w:tcPr>
          <w:p>
            <w:pPr>
              <w:spacing w:after="0"/>
              <w:rPr>
                <w:sz w:val="1"/>
                <w:szCs w:val="1"/>
                <w:color w:val="auto"/>
              </w:rPr>
            </w:pPr>
          </w:p>
        </w:tc>
      </w:tr>
      <w:tr>
        <w:trPr>
          <w:trHeight w:val="204"/>
        </w:trPr>
        <w:tc>
          <w:tcPr>
            <w:tcW w:w="8480" w:type="dxa"/>
            <w:vAlign w:val="bottom"/>
          </w:tcPr>
          <w:p>
            <w:pPr>
              <w:ind w:left="240"/>
              <w:spacing w:after="0"/>
              <w:rPr>
                <w:sz w:val="20"/>
                <w:szCs w:val="20"/>
                <w:color w:val="auto"/>
              </w:rPr>
            </w:pPr>
            <w:r>
              <w:rPr>
                <w:rFonts w:ascii="Arial" w:cs="Arial" w:eastAsia="Arial" w:hAnsi="Arial"/>
                <w:sz w:val="14"/>
                <w:szCs w:val="14"/>
                <w:color w:val="auto"/>
              </w:rPr>
              <w:t>Other non-current liabilities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9,247</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9,095</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Total non-current liabilities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659,422</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674,602</w:t>
            </w:r>
          </w:p>
        </w:tc>
        <w:tc>
          <w:tcPr>
            <w:tcW w:w="0" w:type="dxa"/>
            <w:vAlign w:val="bottom"/>
          </w:tcPr>
          <w:p>
            <w:pPr>
              <w:spacing w:after="0"/>
              <w:rPr>
                <w:sz w:val="1"/>
                <w:szCs w:val="1"/>
                <w:color w:val="auto"/>
              </w:rPr>
            </w:pPr>
          </w:p>
        </w:tc>
      </w:tr>
      <w:tr>
        <w:trPr>
          <w:trHeight w:val="181"/>
        </w:trPr>
        <w:tc>
          <w:tcPr>
            <w:tcW w:w="848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929292"/>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480" w:type="dxa"/>
            <w:vAlign w:val="bottom"/>
          </w:tcPr>
          <w:p>
            <w:pPr>
              <w:ind w:left="20"/>
              <w:spacing w:after="0"/>
              <w:rPr>
                <w:sz w:val="20"/>
                <w:szCs w:val="20"/>
                <w:color w:val="auto"/>
              </w:rPr>
            </w:pPr>
            <w:r>
              <w:rPr>
                <w:rFonts w:ascii="Arial" w:cs="Arial" w:eastAsia="Arial" w:hAnsi="Arial"/>
                <w:sz w:val="14"/>
                <w:szCs w:val="14"/>
                <w:color w:val="auto"/>
              </w:rPr>
              <w:t>Series A redeemable convertible preferred stock — $0.0000 par value; 50 shares authorized; 50 shares issued and outstanding as</w:t>
            </w:r>
          </w:p>
        </w:tc>
        <w:tc>
          <w:tcPr>
            <w:tcW w:w="80" w:type="dxa"/>
            <w:vAlign w:val="bottom"/>
            <w:shd w:val="clear" w:color="auto" w:fill="929292"/>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80" w:type="dxa"/>
            <w:vAlign w:val="bottom"/>
          </w:tcPr>
          <w:p>
            <w:pPr>
              <w:ind w:left="20"/>
              <w:spacing w:after="0" w:line="149" w:lineRule="exact"/>
              <w:rPr>
                <w:sz w:val="20"/>
                <w:szCs w:val="20"/>
                <w:color w:val="auto"/>
              </w:rPr>
            </w:pPr>
            <w:r>
              <w:rPr>
                <w:rFonts w:ascii="Arial" w:cs="Arial" w:eastAsia="Arial" w:hAnsi="Arial"/>
                <w:sz w:val="14"/>
                <w:szCs w:val="14"/>
                <w:color w:val="auto"/>
              </w:rPr>
              <w:t>of both March 31, 2024 and December 31, 2023. Liquidation preference of $51.9 million and $50.9 million as of March 31, 2024 and</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50,193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49,302</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December 31, 2023, respectively.</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80" w:type="dxa"/>
            <w:vAlign w:val="bottom"/>
          </w:tcPr>
          <w:p>
            <w:pPr>
              <w:ind w:left="20"/>
              <w:spacing w:after="0"/>
              <w:rPr>
                <w:sz w:val="20"/>
                <w:szCs w:val="20"/>
                <w:color w:val="auto"/>
              </w:rPr>
            </w:pPr>
            <w:r>
              <w:rPr>
                <w:rFonts w:ascii="Arial" w:cs="Arial" w:eastAsia="Arial" w:hAnsi="Arial"/>
                <w:sz w:val="14"/>
                <w:szCs w:val="14"/>
                <w:i w:val="1"/>
                <w:iCs w:val="1"/>
                <w:color w:val="auto"/>
              </w:rPr>
              <w:t>Stockholders’ equity:</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80" w:type="dxa"/>
            <w:vAlign w:val="bottom"/>
          </w:tcPr>
          <w:p>
            <w:pPr>
              <w:ind w:left="240"/>
              <w:spacing w:after="0"/>
              <w:rPr>
                <w:sz w:val="20"/>
                <w:szCs w:val="20"/>
                <w:color w:val="auto"/>
              </w:rPr>
            </w:pPr>
            <w:r>
              <w:rPr>
                <w:rFonts w:ascii="Arial" w:cs="Arial" w:eastAsia="Arial" w:hAnsi="Arial"/>
                <w:sz w:val="14"/>
                <w:szCs w:val="14"/>
                <w:color w:val="auto"/>
              </w:rPr>
              <w:t>Class A common stock – $0.0000 par value; 1,100,000 shares authorized; 10,160 and 9,823 shares issued; 9,898 and 9,651</w:t>
            </w:r>
          </w:p>
        </w:tc>
        <w:tc>
          <w:tcPr>
            <w:tcW w:w="80" w:type="dxa"/>
            <w:vAlign w:val="bottom"/>
            <w:shd w:val="clear" w:color="auto" w:fill="929292"/>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8480" w:type="dxa"/>
            <w:vAlign w:val="bottom"/>
          </w:tcPr>
          <w:p>
            <w:pPr>
              <w:ind w:left="240"/>
              <w:spacing w:after="0"/>
              <w:rPr>
                <w:sz w:val="20"/>
                <w:szCs w:val="20"/>
                <w:color w:val="auto"/>
              </w:rPr>
            </w:pPr>
            <w:r>
              <w:rPr>
                <w:rFonts w:ascii="Arial" w:cs="Arial" w:eastAsia="Arial" w:hAnsi="Arial"/>
                <w:sz w:val="14"/>
                <w:szCs w:val="14"/>
                <w:color w:val="auto"/>
              </w:rPr>
              <w:t>shares outstanding as of March 31, 2024 and December 31, 2023, respectively.</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80" w:type="dxa"/>
            <w:vAlign w:val="bottom"/>
          </w:tcPr>
          <w:p>
            <w:pPr>
              <w:ind w:left="240"/>
              <w:spacing w:after="0" w:line="149" w:lineRule="exact"/>
              <w:rPr>
                <w:sz w:val="20"/>
                <w:szCs w:val="20"/>
                <w:color w:val="auto"/>
              </w:rPr>
            </w:pPr>
            <w:r>
              <w:rPr>
                <w:rFonts w:ascii="Arial" w:cs="Arial" w:eastAsia="Arial" w:hAnsi="Arial"/>
                <w:sz w:val="14"/>
                <w:szCs w:val="14"/>
                <w:color w:val="auto"/>
              </w:rPr>
              <w:t>Class B common stock – $0.0000 par value; 615,987 and 616,018 shares authorized; 12,783 and 12,814 shares issued and</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8480" w:type="dxa"/>
            <w:vAlign w:val="bottom"/>
          </w:tcPr>
          <w:p>
            <w:pPr>
              <w:ind w:left="240"/>
              <w:spacing w:after="0"/>
              <w:rPr>
                <w:sz w:val="20"/>
                <w:szCs w:val="20"/>
                <w:color w:val="auto"/>
              </w:rPr>
            </w:pPr>
            <w:r>
              <w:rPr>
                <w:rFonts w:ascii="Arial" w:cs="Arial" w:eastAsia="Arial" w:hAnsi="Arial"/>
                <w:sz w:val="14"/>
                <w:szCs w:val="14"/>
                <w:color w:val="auto"/>
              </w:rPr>
              <w:t>outstanding as of March 31, 2024 and December 31, 2023, respectively.</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80" w:type="dxa"/>
            <w:vAlign w:val="bottom"/>
          </w:tcPr>
          <w:p>
            <w:pPr>
              <w:ind w:left="240"/>
              <w:spacing w:after="0" w:line="149" w:lineRule="exact"/>
              <w:rPr>
                <w:sz w:val="20"/>
                <w:szCs w:val="20"/>
                <w:color w:val="auto"/>
              </w:rPr>
            </w:pPr>
            <w:r>
              <w:rPr>
                <w:rFonts w:ascii="Arial" w:cs="Arial" w:eastAsia="Arial" w:hAnsi="Arial"/>
                <w:sz w:val="14"/>
                <w:szCs w:val="14"/>
                <w:color w:val="auto"/>
              </w:rPr>
              <w:t>Preferred stock – $0.0001 par value; 20,000 shares authorized (including 50 shares of Series A redeemable convertible</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80" w:type="dxa"/>
            <w:vAlign w:val="bottom"/>
          </w:tcPr>
          <w:p>
            <w:pPr>
              <w:ind w:left="240"/>
              <w:spacing w:after="0" w:line="149" w:lineRule="exact"/>
              <w:rPr>
                <w:sz w:val="20"/>
                <w:szCs w:val="20"/>
                <w:color w:val="auto"/>
              </w:rPr>
            </w:pPr>
            <w:r>
              <w:rPr>
                <w:rFonts w:ascii="Arial" w:cs="Arial" w:eastAsia="Arial" w:hAnsi="Arial"/>
                <w:sz w:val="14"/>
                <w:szCs w:val="14"/>
                <w:color w:val="auto"/>
              </w:rPr>
              <w:t>preferred stock authorized and 200 shares of Series A-1 convertible preferred stock authorized); 50 shares issued and</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480" w:type="dxa"/>
            <w:vAlign w:val="bottom"/>
          </w:tcPr>
          <w:p>
            <w:pPr>
              <w:ind w:left="240"/>
              <w:spacing w:after="0"/>
              <w:rPr>
                <w:sz w:val="20"/>
                <w:szCs w:val="20"/>
                <w:color w:val="auto"/>
              </w:rPr>
            </w:pPr>
            <w:r>
              <w:rPr>
                <w:rFonts w:ascii="Arial" w:cs="Arial" w:eastAsia="Arial" w:hAnsi="Arial"/>
                <w:sz w:val="14"/>
                <w:szCs w:val="14"/>
                <w:color w:val="auto"/>
              </w:rPr>
              <w:t>outstanding as of both March 31, 2024 and December 31, 2023.</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80" w:type="dxa"/>
            <w:vAlign w:val="bottom"/>
          </w:tcPr>
          <w:p>
            <w:pPr>
              <w:ind w:left="240"/>
              <w:spacing w:after="0" w:line="149" w:lineRule="exact"/>
              <w:rPr>
                <w:sz w:val="20"/>
                <w:szCs w:val="20"/>
                <w:color w:val="auto"/>
              </w:rPr>
            </w:pPr>
            <w:r>
              <w:rPr>
                <w:rFonts w:ascii="Arial" w:cs="Arial" w:eastAsia="Arial" w:hAnsi="Arial"/>
                <w:sz w:val="14"/>
                <w:szCs w:val="14"/>
                <w:color w:val="auto"/>
              </w:rPr>
              <w:t>Series A-1 convertible preferred stock— $0.0001 par value; 200 shares authorized; no shares issued and outstanding as of both</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480" w:type="dxa"/>
            <w:vAlign w:val="bottom"/>
          </w:tcPr>
          <w:p>
            <w:pPr>
              <w:ind w:left="240"/>
              <w:spacing w:after="0"/>
              <w:rPr>
                <w:sz w:val="20"/>
                <w:szCs w:val="20"/>
                <w:color w:val="auto"/>
              </w:rPr>
            </w:pPr>
            <w:r>
              <w:rPr>
                <w:rFonts w:ascii="Arial" w:cs="Arial" w:eastAsia="Arial" w:hAnsi="Arial"/>
                <w:sz w:val="14"/>
                <w:szCs w:val="14"/>
                <w:color w:val="auto"/>
              </w:rPr>
              <w:t>March 31, 2024 and December 31, 2023.</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80" w:type="dxa"/>
            <w:vAlign w:val="bottom"/>
          </w:tcPr>
          <w:p>
            <w:pPr>
              <w:ind w:left="240"/>
              <w:spacing w:after="0" w:line="149" w:lineRule="exact"/>
              <w:rPr>
                <w:sz w:val="20"/>
                <w:szCs w:val="20"/>
                <w:color w:val="auto"/>
              </w:rPr>
            </w:pPr>
            <w:r>
              <w:rPr>
                <w:rFonts w:ascii="Arial" w:cs="Arial" w:eastAsia="Arial" w:hAnsi="Arial"/>
                <w:sz w:val="14"/>
                <w:szCs w:val="14"/>
                <w:color w:val="auto"/>
              </w:rPr>
              <w:t>Treasury stock – at cost; 262 and 173 shares of Class A common stock as of March 31, 2024 and December 31, 2023,</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(3,582)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(2,640)</w:t>
            </w:r>
          </w:p>
        </w:tc>
        <w:tc>
          <w:tcPr>
            <w:tcW w:w="0" w:type="dxa"/>
            <w:vAlign w:val="bottom"/>
          </w:tcPr>
          <w:p>
            <w:pPr>
              <w:spacing w:after="0"/>
              <w:rPr>
                <w:sz w:val="1"/>
                <w:szCs w:val="1"/>
                <w:color w:val="auto"/>
              </w:rPr>
            </w:pPr>
          </w:p>
        </w:tc>
      </w:tr>
      <w:tr>
        <w:trPr>
          <w:trHeight w:val="189"/>
        </w:trPr>
        <w:tc>
          <w:tcPr>
            <w:tcW w:w="8480" w:type="dxa"/>
            <w:vAlign w:val="bottom"/>
          </w:tcPr>
          <w:p>
            <w:pPr>
              <w:ind w:left="240"/>
              <w:spacing w:after="0"/>
              <w:rPr>
                <w:sz w:val="20"/>
                <w:szCs w:val="20"/>
                <w:color w:val="auto"/>
              </w:rPr>
            </w:pPr>
            <w:r>
              <w:rPr>
                <w:rFonts w:ascii="Arial" w:cs="Arial" w:eastAsia="Arial" w:hAnsi="Arial"/>
                <w:sz w:val="14"/>
                <w:szCs w:val="14"/>
                <w:color w:val="auto"/>
              </w:rPr>
              <w:t>respectively.</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8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659,080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654,059</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4"/>
        </w:trPr>
        <w:tc>
          <w:tcPr>
            <w:tcW w:w="8480" w:type="dxa"/>
            <w:vAlign w:val="bottom"/>
          </w:tcPr>
          <w:p>
            <w:pPr>
              <w:ind w:left="240"/>
              <w:spacing w:after="0"/>
              <w:rPr>
                <w:sz w:val="20"/>
                <w:szCs w:val="20"/>
                <w:color w:val="auto"/>
              </w:rPr>
            </w:pPr>
            <w:r>
              <w:rPr>
                <w:rFonts w:ascii="Arial" w:cs="Arial" w:eastAsia="Arial" w:hAnsi="Arial"/>
                <w:sz w:val="14"/>
                <w:szCs w:val="14"/>
                <w:color w:val="auto"/>
              </w:rPr>
              <w:t>Accumulated deficit</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(429,496)</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(420,280)</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Total stockholders’ equity attributable to GoHealth, Inc.</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225,875</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231,014</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159,765</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174,639</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385,640</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405,653</w:t>
            </w:r>
          </w:p>
        </w:tc>
        <w:tc>
          <w:tcPr>
            <w:tcW w:w="0" w:type="dxa"/>
            <w:vAlign w:val="bottom"/>
          </w:tcPr>
          <w:p>
            <w:pPr>
              <w:spacing w:after="0"/>
              <w:rPr>
                <w:sz w:val="1"/>
                <w:szCs w:val="1"/>
                <w:color w:val="auto"/>
              </w:rPr>
            </w:pPr>
          </w:p>
        </w:tc>
      </w:tr>
      <w:tr>
        <w:trPr>
          <w:trHeight w:val="222"/>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Total liabilities, redeemable convertible preferred stock and stockholders’ equity</w:t>
            </w:r>
          </w:p>
        </w:tc>
        <w:tc>
          <w:tcPr>
            <w:tcW w:w="80" w:type="dxa"/>
            <w:vAlign w:val="bottom"/>
            <w:tcBorders>
              <w:bottom w:val="single" w:sz="8" w:color="929292"/>
            </w:tcBorders>
            <w:shd w:val="clear" w:color="auto" w:fill="929292"/>
          </w:tcPr>
          <w:p>
            <w:pPr>
              <w:spacing w:after="0"/>
              <w:rPr>
                <w:sz w:val="19"/>
                <w:szCs w:val="19"/>
                <w:color w:val="auto"/>
              </w:rPr>
            </w:pPr>
          </w:p>
        </w:tc>
        <w:tc>
          <w:tcPr>
            <w:tcW w:w="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1,395,258</w:t>
            </w:r>
          </w:p>
        </w:tc>
        <w:tc>
          <w:tcPr>
            <w:tcW w:w="100" w:type="dxa"/>
            <w:vAlign w:val="bottom"/>
          </w:tcPr>
          <w:p>
            <w:pPr>
              <w:spacing w:after="0"/>
              <w:rPr>
                <w:sz w:val="19"/>
                <w:szCs w:val="19"/>
                <w:color w:val="auto"/>
              </w:rPr>
            </w:pPr>
          </w:p>
        </w:tc>
        <w:tc>
          <w:tcPr>
            <w:tcW w:w="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1,499,570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B6B6B6"/>
            </w:tcBorders>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8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sets forth the net cash provided by (used in) operating activities for the periods presented (unaudited):</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3"/>
          </w:tcPr>
          <w:p>
            <w:pPr>
              <w:ind w:left="280"/>
              <w:spacing w:after="0"/>
              <w:rPr>
                <w:sz w:val="20"/>
                <w:szCs w:val="20"/>
                <w:color w:val="auto"/>
              </w:rPr>
            </w:pPr>
            <w:r>
              <w:rPr>
                <w:rFonts w:ascii="Arial" w:cs="Arial" w:eastAsia="Arial" w:hAnsi="Arial"/>
                <w:sz w:val="14"/>
                <w:szCs w:val="14"/>
                <w:b w:val="1"/>
                <w:bCs w:val="1"/>
                <w:color w:val="auto"/>
              </w:rPr>
              <w:t>Three months ended Mar. 31,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Trailing Twelve Months ended Mar. 31,</w:t>
            </w:r>
          </w:p>
        </w:tc>
      </w:tr>
      <w:tr>
        <w:trPr>
          <w:trHeight w:val="215"/>
        </w:trPr>
        <w:tc>
          <w:tcPr>
            <w:tcW w:w="4480" w:type="dxa"/>
            <w:vAlign w:val="bottom"/>
            <w:tcBorders>
              <w:left w:val="single" w:sz="8" w:color="929292"/>
            </w:tcBorders>
          </w:tcPr>
          <w:p>
            <w:pPr>
              <w:ind w:left="520"/>
              <w:spacing w:after="0"/>
              <w:rPr>
                <w:sz w:val="20"/>
                <w:szCs w:val="20"/>
                <w:color w:val="auto"/>
              </w:rPr>
            </w:pPr>
            <w:r>
              <w:rPr>
                <w:rFonts w:ascii="Arial" w:cs="Arial" w:eastAsia="Arial" w:hAnsi="Arial"/>
                <w:sz w:val="14"/>
                <w:szCs w:val="14"/>
                <w:b w:val="1"/>
                <w:bCs w:val="1"/>
                <w:color w:val="00497F"/>
              </w:rPr>
              <w:t>Net cash provided by (used in) operating activities</w:t>
            </w:r>
          </w:p>
        </w:tc>
        <w:tc>
          <w:tcPr>
            <w:tcW w:w="100" w:type="dxa"/>
            <w:vAlign w:val="bottom"/>
            <w:tcBorders>
              <w:bottom w:val="single" w:sz="8" w:color="929292"/>
            </w:tcBorders>
            <w:shd w:val="clear" w:color="auto" w:fill="929292"/>
          </w:tcPr>
          <w:p>
            <w:pPr>
              <w:spacing w:after="0"/>
              <w:rPr>
                <w:sz w:val="18"/>
                <w:szCs w:val="18"/>
                <w:color w:val="auto"/>
              </w:rPr>
            </w:pPr>
          </w:p>
        </w:tc>
        <w:tc>
          <w:tcPr>
            <w:tcW w:w="360" w:type="dxa"/>
            <w:vAlign w:val="bottom"/>
            <w:tcBorders>
              <w:bottom w:val="single" w:sz="8" w:color="B6B6B6"/>
            </w:tcBorders>
          </w:tcPr>
          <w:p>
            <w:pPr>
              <w:spacing w:after="0"/>
              <w:rPr>
                <w:sz w:val="18"/>
                <w:szCs w:val="18"/>
                <w:color w:val="auto"/>
              </w:rPr>
            </w:pPr>
          </w:p>
        </w:tc>
        <w:tc>
          <w:tcPr>
            <w:tcW w:w="1220" w:type="dxa"/>
            <w:vAlign w:val="bottom"/>
            <w:tcBorders>
              <w:bottom w:val="single" w:sz="8" w:color="B6B6B6"/>
            </w:tcBorders>
          </w:tcPr>
          <w:p>
            <w:pPr>
              <w:ind w:left="26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B6B6B6"/>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B6B6B6"/>
            </w:tcBorders>
          </w:tcPr>
          <w:p>
            <w:pPr>
              <w:spacing w:after="0"/>
              <w:rPr>
                <w:sz w:val="18"/>
                <w:szCs w:val="18"/>
                <w:color w:val="auto"/>
              </w:rPr>
            </w:pPr>
          </w:p>
        </w:tc>
        <w:tc>
          <w:tcPr>
            <w:tcW w:w="138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B6B6B6"/>
            </w:tcBorders>
          </w:tcPr>
          <w:p>
            <w:pPr>
              <w:spacing w:after="0"/>
              <w:rPr>
                <w:sz w:val="18"/>
                <w:szCs w:val="18"/>
                <w:color w:val="auto"/>
              </w:rPr>
            </w:pPr>
          </w:p>
        </w:tc>
        <w:tc>
          <w:tcPr>
            <w:tcW w:w="12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auto"/>
              </w:rPr>
              <w:t>2023</w:t>
            </w:r>
          </w:p>
        </w:tc>
      </w:tr>
      <w:tr>
        <w:trPr>
          <w:trHeight w:val="193"/>
        </w:trPr>
        <w:tc>
          <w:tcPr>
            <w:tcW w:w="4480" w:type="dxa"/>
            <w:vAlign w:val="bottom"/>
            <w:tcBorders>
              <w:left w:val="single" w:sz="8" w:color="929292"/>
              <w:bottom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12,512</w:t>
            </w:r>
          </w:p>
        </w:tc>
        <w:tc>
          <w:tcPr>
            <w:tcW w:w="100" w:type="dxa"/>
            <w:vAlign w:val="bottom"/>
          </w:tcPr>
          <w:p>
            <w:pPr>
              <w:spacing w:after="0"/>
              <w:rPr>
                <w:sz w:val="16"/>
                <w:szCs w:val="16"/>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20,479</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101,174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26,897</w:t>
            </w:r>
          </w:p>
        </w:tc>
      </w:tr>
    </w:tbl>
    <w:p>
      <w:pPr>
        <w:spacing w:after="0" w:line="200" w:lineRule="exact"/>
        <w:rPr>
          <w:sz w:val="20"/>
          <w:szCs w:val="20"/>
          <w:color w:val="auto"/>
        </w:rPr>
      </w:pPr>
    </w:p>
    <w:p>
      <w:pPr>
        <w:spacing w:after="0" w:line="218"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Below are the most relevant business and operating metrics, besides EBITDA, Adjusted EBITDA and Cash Adjusted EBITDA for our single operating and reportable segment.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reconciliations of Medicare Revenue per Submission, Operating Expense per Submission, and Gross Margin per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Submission to Sales per Submission, Cost Per Submission, and Adjusted Gross Margin per Submission for the periods indicated (unaudited):</w:t>
      </w:r>
    </w:p>
    <w:p>
      <w:pPr>
        <w:spacing w:after="0" w:line="142"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80" w:type="dxa"/>
            <w:vAlign w:val="bottom"/>
            <w:shd w:val="clear" w:color="auto" w:fill="929292"/>
          </w:tcPr>
          <w:p>
            <w:pPr>
              <w:spacing w:after="0"/>
              <w:rPr>
                <w:sz w:val="17"/>
                <w:szCs w:val="17"/>
                <w:color w:val="auto"/>
              </w:rPr>
            </w:pPr>
          </w:p>
        </w:tc>
        <w:tc>
          <w:tcPr>
            <w:tcW w:w="308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 Mar. 31,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80" w:type="dxa"/>
            <w:vAlign w:val="bottom"/>
            <w:tcBorders>
              <w:bottom w:val="single" w:sz="8" w:color="929292"/>
            </w:tcBorders>
            <w:shd w:val="clear" w:color="auto" w:fill="929292"/>
          </w:tcPr>
          <w:p>
            <w:pPr>
              <w:spacing w:after="0"/>
              <w:rPr>
                <w:sz w:val="17"/>
                <w:szCs w:val="17"/>
                <w:color w:val="auto"/>
              </w:rPr>
            </w:pPr>
          </w:p>
        </w:tc>
        <w:tc>
          <w:tcPr>
            <w:tcW w:w="11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B6B6B6"/>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640" w:type="dxa"/>
            <w:vAlign w:val="bottom"/>
          </w:tcPr>
          <w:p>
            <w:pPr>
              <w:spacing w:after="0"/>
              <w:rPr>
                <w:sz w:val="20"/>
                <w:szCs w:val="20"/>
                <w:color w:val="auto"/>
              </w:rPr>
            </w:pPr>
            <w:r>
              <w:rPr>
                <w:rFonts w:ascii="Arial" w:cs="Arial" w:eastAsia="Arial" w:hAnsi="Arial"/>
                <w:sz w:val="14"/>
                <w:szCs w:val="14"/>
                <w:b w:val="1"/>
                <w:bCs w:val="1"/>
                <w:color w:val="auto"/>
              </w:rPr>
              <w:t>Sales per Submission</w:t>
            </w:r>
          </w:p>
        </w:tc>
        <w:tc>
          <w:tcPr>
            <w:tcW w:w="80" w:type="dxa"/>
            <w:vAlign w:val="bottom"/>
            <w:shd w:val="clear" w:color="auto" w:fill="929292"/>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640" w:type="dxa"/>
            <w:vAlign w:val="bottom"/>
          </w:tcPr>
          <w:p>
            <w:pPr>
              <w:spacing w:after="0"/>
              <w:rPr>
                <w:sz w:val="20"/>
                <w:szCs w:val="20"/>
                <w:color w:val="auto"/>
              </w:rPr>
            </w:pPr>
            <w:r>
              <w:rPr>
                <w:rFonts w:ascii="Arial" w:cs="Arial" w:eastAsia="Arial" w:hAnsi="Arial"/>
                <w:sz w:val="14"/>
                <w:szCs w:val="14"/>
                <w:color w:val="auto"/>
              </w:rPr>
              <w:t>Medicare Revenue per Submission</w:t>
            </w:r>
          </w:p>
        </w:tc>
        <w:tc>
          <w:tcPr>
            <w:tcW w:w="80" w:type="dxa"/>
            <w:vAlign w:val="bottom"/>
            <w:tcBorders>
              <w:bottom w:val="single" w:sz="8" w:color="929292"/>
            </w:tcBorders>
            <w:shd w:val="clear" w:color="auto" w:fill="929292"/>
          </w:tcPr>
          <w:p>
            <w:pPr>
              <w:spacing w:after="0"/>
              <w:rPr>
                <w:sz w:val="17"/>
                <w:szCs w:val="17"/>
                <w:color w:val="auto"/>
              </w:rPr>
            </w:pPr>
          </w:p>
        </w:tc>
        <w:tc>
          <w:tcPr>
            <w:tcW w:w="1160" w:type="dxa"/>
            <w:vAlign w:val="bottom"/>
            <w:tcBorders>
              <w:bottom w:val="single" w:sz="8" w:color="B6B6B6"/>
            </w:tcBorders>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856</w:t>
            </w:r>
          </w:p>
        </w:tc>
        <w:tc>
          <w:tcPr>
            <w:tcW w:w="80" w:type="dxa"/>
            <w:vAlign w:val="bottom"/>
          </w:tcPr>
          <w:p>
            <w:pPr>
              <w:spacing w:after="0"/>
              <w:rPr>
                <w:sz w:val="17"/>
                <w:szCs w:val="17"/>
                <w:color w:val="auto"/>
              </w:rPr>
            </w:pPr>
          </w:p>
        </w:tc>
        <w:tc>
          <w:tcPr>
            <w:tcW w:w="1180" w:type="dxa"/>
            <w:vAlign w:val="bottom"/>
            <w:tcBorders>
              <w:bottom w:val="single" w:sz="8" w:color="B6B6B6"/>
            </w:tcBorders>
          </w:tcPr>
          <w:p>
            <w:pPr>
              <w:jc w:val="right"/>
              <w:ind w:right="10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Arial" w:cs="Arial" w:eastAsia="Arial" w:hAnsi="Arial"/>
                <w:sz w:val="14"/>
                <w:szCs w:val="14"/>
                <w:color w:val="auto"/>
              </w:rPr>
              <w:t>Sales per Submission</w:t>
            </w:r>
          </w:p>
        </w:tc>
        <w:tc>
          <w:tcPr>
            <w:tcW w:w="80" w:type="dxa"/>
            <w:vAlign w:val="bottom"/>
            <w:tcBorders>
              <w:bottom w:val="single" w:sz="8" w:color="929292"/>
            </w:tcBorders>
            <w:shd w:val="clear" w:color="auto" w:fill="929292"/>
          </w:tcPr>
          <w:p>
            <w:pPr>
              <w:spacing w:after="0"/>
              <w:rPr>
                <w:sz w:val="17"/>
                <w:szCs w:val="17"/>
                <w:color w:val="auto"/>
              </w:rPr>
            </w:pPr>
          </w:p>
        </w:tc>
        <w:tc>
          <w:tcPr>
            <w:tcW w:w="1160" w:type="dxa"/>
            <w:vAlign w:val="bottom"/>
            <w:tcBorders>
              <w:bottom w:val="single" w:sz="8" w:color="B6B6B6"/>
            </w:tcBorders>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856</w:t>
            </w:r>
          </w:p>
        </w:tc>
        <w:tc>
          <w:tcPr>
            <w:tcW w:w="80" w:type="dxa"/>
            <w:vAlign w:val="bottom"/>
          </w:tcPr>
          <w:p>
            <w:pPr>
              <w:spacing w:after="0"/>
              <w:rPr>
                <w:sz w:val="17"/>
                <w:szCs w:val="17"/>
                <w:color w:val="auto"/>
              </w:rPr>
            </w:pPr>
          </w:p>
        </w:tc>
        <w:tc>
          <w:tcPr>
            <w:tcW w:w="1180" w:type="dxa"/>
            <w:vAlign w:val="bottom"/>
            <w:tcBorders>
              <w:bottom w:val="single" w:sz="8" w:color="B6B6B6"/>
            </w:tcBorders>
          </w:tcPr>
          <w:p>
            <w:pPr>
              <w:jc w:val="right"/>
              <w:ind w:right="10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21"/>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Cost per Submission</w:t>
            </w:r>
          </w:p>
        </w:tc>
        <w:tc>
          <w:tcPr>
            <w:tcW w:w="80" w:type="dxa"/>
            <w:vAlign w:val="bottom"/>
            <w:tcBorders>
              <w:bottom w:val="single" w:sz="8" w:color="929292"/>
            </w:tcBorders>
            <w:shd w:val="clear" w:color="auto" w:fill="929292"/>
          </w:tcPr>
          <w:p>
            <w:pPr>
              <w:spacing w:after="0" w:line="20" w:lineRule="exact"/>
              <w:rPr>
                <w:sz w:val="1"/>
                <w:szCs w:val="1"/>
                <w:color w:val="auto"/>
              </w:rPr>
            </w:pPr>
          </w:p>
        </w:tc>
        <w:tc>
          <w:tcPr>
            <w:tcW w:w="116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6640" w:type="dxa"/>
            <w:vAlign w:val="bottom"/>
            <w:vMerge w:val="continue"/>
          </w:tcPr>
          <w:p>
            <w:pPr>
              <w:spacing w:after="0"/>
              <w:rPr>
                <w:sz w:val="24"/>
                <w:szCs w:val="24"/>
                <w:color w:val="auto"/>
              </w:rPr>
            </w:pPr>
          </w:p>
        </w:tc>
        <w:tc>
          <w:tcPr>
            <w:tcW w:w="80" w:type="dxa"/>
            <w:vAlign w:val="bottom"/>
            <w:shd w:val="clear" w:color="auto" w:fill="929292"/>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640" w:type="dxa"/>
            <w:vAlign w:val="bottom"/>
          </w:tcPr>
          <w:p>
            <w:pPr>
              <w:spacing w:after="0"/>
              <w:rPr>
                <w:sz w:val="20"/>
                <w:szCs w:val="20"/>
                <w:color w:val="auto"/>
              </w:rPr>
            </w:pPr>
            <w:r>
              <w:rPr>
                <w:rFonts w:ascii="Arial" w:cs="Arial" w:eastAsia="Arial" w:hAnsi="Arial"/>
                <w:sz w:val="14"/>
                <w:szCs w:val="14"/>
                <w:color w:val="auto"/>
              </w:rPr>
              <w:t>Operating Expense per Submission</w:t>
            </w:r>
          </w:p>
        </w:tc>
        <w:tc>
          <w:tcPr>
            <w:tcW w:w="80" w:type="dxa"/>
            <w:vAlign w:val="bottom"/>
            <w:shd w:val="clear" w:color="auto" w:fill="929292"/>
          </w:tcPr>
          <w:p>
            <w:pPr>
              <w:spacing w:after="0"/>
              <w:rPr>
                <w:sz w:val="17"/>
                <w:szCs w:val="17"/>
                <w:color w:val="auto"/>
              </w:rPr>
            </w:pP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877</w:t>
            </w:r>
          </w:p>
        </w:tc>
        <w:tc>
          <w:tcPr>
            <w:tcW w:w="80" w:type="dxa"/>
            <w:vAlign w:val="bottom"/>
          </w:tcPr>
          <w:p>
            <w:pPr>
              <w:spacing w:after="0"/>
              <w:rPr>
                <w:sz w:val="17"/>
                <w:szCs w:val="17"/>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215"/>
        </w:trPr>
        <w:tc>
          <w:tcPr>
            <w:tcW w:w="6640" w:type="dxa"/>
            <w:vAlign w:val="bottom"/>
          </w:tcPr>
          <w:p>
            <w:pPr>
              <w:ind w:left="100"/>
              <w:spacing w:after="0"/>
              <w:rPr>
                <w:sz w:val="20"/>
                <w:szCs w:val="20"/>
                <w:color w:val="auto"/>
              </w:rPr>
            </w:pPr>
            <w:r>
              <w:rPr>
                <w:rFonts w:ascii="Arial" w:cs="Arial" w:eastAsia="Arial" w:hAnsi="Arial"/>
                <w:sz w:val="14"/>
                <w:szCs w:val="14"/>
                <w:color w:val="auto"/>
              </w:rPr>
              <w:t>Indirect operating expenses</w:t>
            </w:r>
            <w:r>
              <w:rPr>
                <w:rFonts w:ascii="Arial" w:cs="Arial" w:eastAsia="Arial" w:hAnsi="Arial"/>
                <w:sz w:val="18"/>
                <w:szCs w:val="18"/>
                <w:color w:val="auto"/>
                <w:vertAlign w:val="superscript"/>
              </w:rPr>
              <w:t>(1)</w:t>
            </w:r>
          </w:p>
        </w:tc>
        <w:tc>
          <w:tcPr>
            <w:tcW w:w="80" w:type="dxa"/>
            <w:vAlign w:val="bottom"/>
            <w:shd w:val="clear" w:color="auto" w:fill="929292"/>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(235)</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90"/>
        </w:trPr>
        <w:tc>
          <w:tcPr>
            <w:tcW w:w="6640" w:type="dxa"/>
            <w:vAlign w:val="bottom"/>
          </w:tcPr>
          <w:p>
            <w:pPr>
              <w:ind w:left="100"/>
              <w:spacing w:after="0"/>
              <w:rPr>
                <w:sz w:val="20"/>
                <w:szCs w:val="20"/>
                <w:color w:val="auto"/>
              </w:rPr>
            </w:pPr>
            <w:r>
              <w:rPr>
                <w:rFonts w:ascii="Arial" w:cs="Arial" w:eastAsia="Arial" w:hAnsi="Arial"/>
                <w:sz w:val="14"/>
                <w:szCs w:val="14"/>
                <w:color w:val="auto"/>
              </w:rPr>
              <w:t>Exit of Non-Encompass BPO Services</w:t>
            </w:r>
          </w:p>
        </w:tc>
        <w:tc>
          <w:tcPr>
            <w:tcW w:w="80" w:type="dxa"/>
            <w:vAlign w:val="bottom"/>
            <w:shd w:val="clear" w:color="auto" w:fill="929292"/>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1"/>
        </w:trPr>
        <w:tc>
          <w:tcPr>
            <w:tcW w:w="6640" w:type="dxa"/>
            <w:vAlign w:val="bottom"/>
          </w:tcPr>
          <w:p>
            <w:pPr>
              <w:ind w:left="100"/>
              <w:spacing w:after="0"/>
              <w:rPr>
                <w:sz w:val="20"/>
                <w:szCs w:val="20"/>
                <w:color w:val="auto"/>
              </w:rPr>
            </w:pPr>
            <w:r>
              <w:rPr>
                <w:rFonts w:ascii="Arial" w:cs="Arial" w:eastAsia="Arial" w:hAnsi="Arial"/>
                <w:sz w:val="14"/>
                <w:szCs w:val="14"/>
                <w:color w:val="auto"/>
              </w:rPr>
              <w:t>Share-based compensation expense</w:t>
            </w:r>
            <w:r>
              <w:rPr>
                <w:rFonts w:ascii="Arial" w:cs="Arial" w:eastAsia="Arial" w:hAnsi="Arial"/>
                <w:sz w:val="18"/>
                <w:szCs w:val="18"/>
                <w:color w:val="auto"/>
                <w:vertAlign w:val="superscript"/>
              </w:rPr>
              <w:t>(2)</w:t>
            </w:r>
          </w:p>
        </w:tc>
        <w:tc>
          <w:tcPr>
            <w:tcW w:w="80" w:type="dxa"/>
            <w:vAlign w:val="bottom"/>
            <w:tcBorders>
              <w:bottom w:val="single" w:sz="8" w:color="929292"/>
            </w:tcBorders>
            <w:shd w:val="clear" w:color="auto" w:fill="929292"/>
          </w:tcPr>
          <w:p>
            <w:pPr>
              <w:spacing w:after="0"/>
              <w:rPr>
                <w:sz w:val="18"/>
                <w:szCs w:val="18"/>
                <w:color w:val="auto"/>
              </w:rPr>
            </w:pPr>
          </w:p>
        </w:tc>
        <w:tc>
          <w:tcPr>
            <w:tcW w:w="1160" w:type="dxa"/>
            <w:vAlign w:val="bottom"/>
            <w:tcBorders>
              <w:bottom w:val="single" w:sz="8" w:color="B6B6B6"/>
            </w:tcBorders>
          </w:tcPr>
          <w:p>
            <w:pPr>
              <w:spacing w:after="0"/>
              <w:rPr>
                <w:sz w:val="18"/>
                <w:szCs w:val="18"/>
                <w:color w:val="auto"/>
              </w:rPr>
            </w:pPr>
          </w:p>
        </w:tc>
        <w:tc>
          <w:tcPr>
            <w:tcW w:w="6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8"/>
                <w:szCs w:val="18"/>
                <w:color w:val="auto"/>
              </w:rPr>
            </w:pPr>
          </w:p>
        </w:tc>
        <w:tc>
          <w:tcPr>
            <w:tcW w:w="1180" w:type="dxa"/>
            <w:vAlign w:val="bottom"/>
            <w:tcBorders>
              <w:bottom w:val="single" w:sz="8" w:color="B6B6B6"/>
            </w:tcBorders>
          </w:tcPr>
          <w:p>
            <w:pPr>
              <w:spacing w:after="0"/>
              <w:rPr>
                <w:sz w:val="18"/>
                <w:szCs w:val="18"/>
                <w:color w:val="auto"/>
              </w:rPr>
            </w:pPr>
          </w:p>
        </w:tc>
        <w:tc>
          <w:tcPr>
            <w:tcW w:w="6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20"/>
                <w:szCs w:val="20"/>
                <w:color w:val="auto"/>
              </w:rPr>
            </w:pPr>
            <w:r>
              <w:rPr>
                <w:rFonts w:ascii="Arial" w:cs="Arial" w:eastAsia="Arial" w:hAnsi="Arial"/>
                <w:sz w:val="14"/>
                <w:szCs w:val="14"/>
                <w:color w:val="auto"/>
              </w:rPr>
              <w:t>Cost per Submission</w:t>
            </w:r>
          </w:p>
        </w:tc>
        <w:tc>
          <w:tcPr>
            <w:tcW w:w="80" w:type="dxa"/>
            <w:vAlign w:val="bottom"/>
            <w:tcBorders>
              <w:bottom w:val="single" w:sz="8" w:color="929292"/>
            </w:tcBorders>
            <w:shd w:val="clear" w:color="auto" w:fill="929292"/>
          </w:tcPr>
          <w:p>
            <w:pPr>
              <w:spacing w:after="0"/>
              <w:rPr>
                <w:sz w:val="17"/>
                <w:szCs w:val="17"/>
                <w:color w:val="auto"/>
              </w:rPr>
            </w:pPr>
          </w:p>
        </w:tc>
        <w:tc>
          <w:tcPr>
            <w:tcW w:w="1160" w:type="dxa"/>
            <w:vAlign w:val="bottom"/>
            <w:tcBorders>
              <w:bottom w:val="single" w:sz="8" w:color="B6B6B6"/>
            </w:tcBorders>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640</w:t>
            </w:r>
          </w:p>
        </w:tc>
        <w:tc>
          <w:tcPr>
            <w:tcW w:w="80" w:type="dxa"/>
            <w:vAlign w:val="bottom"/>
          </w:tcPr>
          <w:p>
            <w:pPr>
              <w:spacing w:after="0"/>
              <w:rPr>
                <w:sz w:val="17"/>
                <w:szCs w:val="17"/>
                <w:color w:val="auto"/>
              </w:rPr>
            </w:pPr>
          </w:p>
        </w:tc>
        <w:tc>
          <w:tcPr>
            <w:tcW w:w="1180" w:type="dxa"/>
            <w:vAlign w:val="bottom"/>
            <w:tcBorders>
              <w:bottom w:val="single" w:sz="8" w:color="B6B6B6"/>
            </w:tcBorders>
          </w:tcPr>
          <w:p>
            <w:pPr>
              <w:jc w:val="right"/>
              <w:ind w:right="10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21"/>
        </w:trPr>
        <w:tc>
          <w:tcPr>
            <w:tcW w:w="6640" w:type="dxa"/>
            <w:vAlign w:val="bottom"/>
            <w:vMerge w:val="restart"/>
          </w:tcPr>
          <w:p>
            <w:pPr>
              <w:spacing w:after="0"/>
              <w:rPr>
                <w:sz w:val="20"/>
                <w:szCs w:val="20"/>
                <w:color w:val="auto"/>
              </w:rPr>
            </w:pPr>
            <w:r>
              <w:rPr>
                <w:rFonts w:ascii="Arial" w:cs="Arial" w:eastAsia="Arial" w:hAnsi="Arial"/>
                <w:sz w:val="14"/>
                <w:szCs w:val="14"/>
                <w:color w:val="auto"/>
              </w:rPr>
              <w:t>Gross Margin per Submission</w:t>
            </w:r>
            <w:r>
              <w:rPr>
                <w:rFonts w:ascii="Arial" w:cs="Arial" w:eastAsia="Arial" w:hAnsi="Arial"/>
                <w:sz w:val="18"/>
                <w:szCs w:val="18"/>
                <w:color w:val="auto"/>
                <w:vertAlign w:val="superscript"/>
              </w:rPr>
              <w:t>(3)</w:t>
            </w:r>
          </w:p>
        </w:tc>
        <w:tc>
          <w:tcPr>
            <w:tcW w:w="80" w:type="dxa"/>
            <w:vAlign w:val="bottom"/>
            <w:tcBorders>
              <w:bottom w:val="single" w:sz="8" w:color="929292"/>
            </w:tcBorders>
            <w:shd w:val="clear" w:color="auto" w:fill="929292"/>
          </w:tcPr>
          <w:p>
            <w:pPr>
              <w:spacing w:after="0" w:line="20" w:lineRule="exact"/>
              <w:rPr>
                <w:sz w:val="1"/>
                <w:szCs w:val="1"/>
                <w:color w:val="auto"/>
              </w:rPr>
            </w:pPr>
          </w:p>
        </w:tc>
        <w:tc>
          <w:tcPr>
            <w:tcW w:w="116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6640" w:type="dxa"/>
            <w:vAlign w:val="bottom"/>
            <w:vMerge w:val="continue"/>
          </w:tcPr>
          <w:p>
            <w:pPr>
              <w:spacing w:after="0"/>
              <w:rPr>
                <w:sz w:val="17"/>
                <w:szCs w:val="17"/>
                <w:color w:val="auto"/>
              </w:rPr>
            </w:pPr>
          </w:p>
        </w:tc>
        <w:tc>
          <w:tcPr>
            <w:tcW w:w="80" w:type="dxa"/>
            <w:vAlign w:val="bottom"/>
            <w:shd w:val="clear" w:color="auto" w:fill="929292"/>
          </w:tcPr>
          <w:p>
            <w:pPr>
              <w:spacing w:after="0"/>
              <w:rPr>
                <w:sz w:val="17"/>
                <w:szCs w:val="17"/>
                <w:color w:val="auto"/>
              </w:rPr>
            </w:pP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1"/>
        </w:trPr>
        <w:tc>
          <w:tcPr>
            <w:tcW w:w="6640" w:type="dxa"/>
            <w:vAlign w:val="bottom"/>
          </w:tcPr>
          <w:p>
            <w:pPr>
              <w:spacing w:after="0" w:line="201" w:lineRule="exact"/>
              <w:rPr>
                <w:sz w:val="20"/>
                <w:szCs w:val="20"/>
                <w:color w:val="auto"/>
              </w:rPr>
            </w:pPr>
            <w:r>
              <w:rPr>
                <w:rFonts w:ascii="Arial" w:cs="Arial" w:eastAsia="Arial" w:hAnsi="Arial"/>
                <w:sz w:val="14"/>
                <w:szCs w:val="14"/>
                <w:color w:val="auto"/>
              </w:rPr>
              <w:t>Adjusted Gross Margin per Submission</w:t>
            </w:r>
            <w:r>
              <w:rPr>
                <w:rFonts w:ascii="Arial" w:cs="Arial" w:eastAsia="Arial" w:hAnsi="Arial"/>
                <w:sz w:val="18"/>
                <w:szCs w:val="18"/>
                <w:color w:val="auto"/>
                <w:vertAlign w:val="superscript"/>
              </w:rPr>
              <w:t>(4)</w:t>
            </w:r>
          </w:p>
        </w:tc>
        <w:tc>
          <w:tcPr>
            <w:tcW w:w="80" w:type="dxa"/>
            <w:vAlign w:val="bottom"/>
            <w:shd w:val="clear" w:color="auto" w:fill="929292"/>
          </w:tcPr>
          <w:p>
            <w:pPr>
              <w:spacing w:after="0"/>
              <w:rPr>
                <w:sz w:val="17"/>
                <w:szCs w:val="17"/>
                <w:color w:val="auto"/>
              </w:rPr>
            </w:pP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7"/>
                <w:szCs w:val="17"/>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2"/>
          <w:szCs w:val="12"/>
          <w:i w:val="1"/>
          <w:iCs w:val="1"/>
          <w:color w:val="auto"/>
        </w:rPr>
      </w:pPr>
      <w:r>
        <w:rPr>
          <w:rFonts w:ascii="Arial" w:cs="Arial" w:eastAsia="Arial" w:hAnsi="Arial"/>
          <w:sz w:val="12"/>
          <w:szCs w:val="12"/>
          <w:i w:val="1"/>
          <w:iCs w:val="1"/>
          <w:color w:val="auto"/>
        </w:rPr>
        <w:t>Indirect operating expenses include technology, general and administrative, amortization of intangible assets, operating lease impairment charges and restructuring and other related charges.</w:t>
      </w:r>
    </w:p>
    <w:p>
      <w:pPr>
        <w:spacing w:after="0" w:line="20" w:lineRule="exact"/>
        <w:rPr>
          <w:rFonts w:ascii="Arial" w:cs="Arial" w:eastAsia="Arial" w:hAnsi="Arial"/>
          <w:sz w:val="12"/>
          <w:szCs w:val="12"/>
          <w:i w:val="1"/>
          <w:iCs w:val="1"/>
          <w:color w:val="auto"/>
        </w:rPr>
      </w:pP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Share-based compensation expense included within marketing and advertising expenses and customer care and enrollment expenses.</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Medicare Revenue per Submission less Operating Expense per Submission.</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Sales per Submission less Cost per Submission.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of Submissions for the periods presented (unaudited):</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40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3360" w:type="dxa"/>
            <w:vAlign w:val="bottom"/>
            <w:gridSpan w:val="4"/>
          </w:tcPr>
          <w:p>
            <w:pPr>
              <w:ind w:left="680"/>
              <w:spacing w:after="0"/>
              <w:rPr>
                <w:sz w:val="20"/>
                <w:szCs w:val="20"/>
                <w:color w:val="auto"/>
              </w:rPr>
            </w:pPr>
            <w:r>
              <w:rPr>
                <w:rFonts w:ascii="Arial" w:cs="Arial" w:eastAsia="Arial" w:hAnsi="Arial"/>
                <w:sz w:val="14"/>
                <w:szCs w:val="14"/>
                <w:color w:val="auto"/>
              </w:rPr>
              <w:t>Three months ended Mar. 31,</w:t>
            </w:r>
          </w:p>
        </w:tc>
        <w:tc>
          <w:tcPr>
            <w:tcW w:w="18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8"/>
        </w:trPr>
        <w:tc>
          <w:tcPr>
            <w:tcW w:w="4400" w:type="dxa"/>
            <w:vAlign w:val="bottom"/>
            <w:tcBorders>
              <w:left w:val="single" w:sz="8" w:color="929292"/>
            </w:tcBorders>
          </w:tcPr>
          <w:p>
            <w:pPr>
              <w:ind w:left="1760"/>
              <w:spacing w:after="0"/>
              <w:rPr>
                <w:sz w:val="20"/>
                <w:szCs w:val="20"/>
                <w:color w:val="auto"/>
              </w:rPr>
            </w:pPr>
            <w:r>
              <w:rPr>
                <w:rFonts w:ascii="Arial" w:cs="Arial" w:eastAsia="Arial" w:hAnsi="Arial"/>
                <w:sz w:val="14"/>
                <w:szCs w:val="14"/>
                <w:b w:val="1"/>
                <w:bCs w:val="1"/>
                <w:color w:val="00497F"/>
              </w:rPr>
              <w:t>Submissions</w:t>
            </w:r>
          </w:p>
        </w:tc>
        <w:tc>
          <w:tcPr>
            <w:tcW w:w="100" w:type="dxa"/>
            <w:vAlign w:val="bottom"/>
            <w:tcBorders>
              <w:bottom w:val="single" w:sz="8" w:color="929292"/>
            </w:tcBorders>
            <w:shd w:val="clear" w:color="auto" w:fill="929292"/>
          </w:tcPr>
          <w:p>
            <w:pPr>
              <w:spacing w:after="0"/>
              <w:rPr>
                <w:sz w:val="17"/>
                <w:szCs w:val="17"/>
                <w:color w:val="auto"/>
              </w:rPr>
            </w:pPr>
          </w:p>
        </w:tc>
        <w:tc>
          <w:tcPr>
            <w:tcW w:w="158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158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840" w:type="dxa"/>
            <w:vAlign w:val="bottom"/>
            <w:tcBorders>
              <w:bottom w:val="single" w:sz="8" w:color="B6B6B6"/>
            </w:tcBorders>
          </w:tcPr>
          <w:p>
            <w:pPr>
              <w:jc w:val="right"/>
              <w:ind w:right="728"/>
              <w:spacing w:after="0"/>
              <w:rPr>
                <w:sz w:val="20"/>
                <w:szCs w:val="20"/>
                <w:color w:val="auto"/>
              </w:rPr>
            </w:pPr>
            <w:r>
              <w:rPr>
                <w:rFonts w:ascii="Arial" w:cs="Arial" w:eastAsia="Arial" w:hAnsi="Arial"/>
                <w:sz w:val="14"/>
                <w:szCs w:val="14"/>
                <w:color w:val="auto"/>
              </w:rPr>
              <w:t>Change</w:t>
            </w:r>
          </w:p>
        </w:tc>
        <w:tc>
          <w:tcPr>
            <w:tcW w:w="152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color w:val="auto"/>
              </w:rPr>
              <w:t>% Change</w:t>
            </w:r>
          </w:p>
        </w:tc>
      </w:tr>
      <w:tr>
        <w:trPr>
          <w:trHeight w:val="192"/>
        </w:trPr>
        <w:tc>
          <w:tcPr>
            <w:tcW w:w="4400" w:type="dxa"/>
            <w:vAlign w:val="bottom"/>
            <w:tcBorders>
              <w:left w:val="single" w:sz="8" w:color="929292"/>
              <w:bottom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216,148</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213,645</w:t>
            </w:r>
          </w:p>
        </w:tc>
        <w:tc>
          <w:tcPr>
            <w:tcW w:w="100" w:type="dxa"/>
            <w:vAlign w:val="bottom"/>
          </w:tcPr>
          <w:p>
            <w:pPr>
              <w:spacing w:after="0"/>
              <w:rPr>
                <w:sz w:val="16"/>
                <w:szCs w:val="16"/>
                <w:color w:val="auto"/>
              </w:rPr>
            </w:pPr>
          </w:p>
        </w:tc>
        <w:tc>
          <w:tcPr>
            <w:tcW w:w="1840" w:type="dxa"/>
            <w:vAlign w:val="bottom"/>
          </w:tcPr>
          <w:p>
            <w:pPr>
              <w:jc w:val="right"/>
              <w:ind w:right="268"/>
              <w:spacing w:after="0"/>
              <w:rPr>
                <w:sz w:val="20"/>
                <w:szCs w:val="20"/>
                <w:color w:val="auto"/>
              </w:rPr>
            </w:pPr>
            <w:r>
              <w:rPr>
                <w:rFonts w:ascii="Arial" w:cs="Arial" w:eastAsia="Arial" w:hAnsi="Arial"/>
                <w:sz w:val="14"/>
                <w:szCs w:val="14"/>
                <w:color w:val="auto"/>
              </w:rPr>
              <w:t>2,503</w:t>
            </w:r>
          </w:p>
        </w:tc>
        <w:tc>
          <w:tcPr>
            <w:tcW w:w="1520" w:type="dxa"/>
            <w:vAlign w:val="bottom"/>
          </w:tcPr>
          <w:p>
            <w:pPr>
              <w:jc w:val="right"/>
              <w:spacing w:after="0"/>
              <w:rPr>
                <w:sz w:val="20"/>
                <w:szCs w:val="20"/>
                <w:color w:val="auto"/>
              </w:rPr>
            </w:pPr>
            <w:r>
              <w:rPr>
                <w:rFonts w:ascii="Arial" w:cs="Arial" w:eastAsia="Arial" w:hAnsi="Arial"/>
                <w:sz w:val="14"/>
                <w:szCs w:val="14"/>
                <w:color w:val="auto"/>
              </w:rPr>
              <w:t>1.2 %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Sales per Submission for the periods presented (unaudited):</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44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300"/>
              <w:spacing w:after="0"/>
              <w:rPr>
                <w:sz w:val="20"/>
                <w:szCs w:val="20"/>
                <w:color w:val="auto"/>
              </w:rPr>
            </w:pPr>
            <w:r>
              <w:rPr>
                <w:rFonts w:ascii="Arial" w:cs="Arial" w:eastAsia="Arial" w:hAnsi="Arial"/>
                <w:sz w:val="14"/>
                <w:szCs w:val="14"/>
                <w:color w:val="auto"/>
              </w:rPr>
              <w:t>Three months ended Mar. 31,</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8"/>
        </w:trPr>
        <w:tc>
          <w:tcPr>
            <w:tcW w:w="4440" w:type="dxa"/>
            <w:vAlign w:val="bottom"/>
            <w:tcBorders>
              <w:left w:val="single" w:sz="8" w:color="929292"/>
            </w:tcBorders>
          </w:tcPr>
          <w:p>
            <w:pPr>
              <w:ind w:left="1480"/>
              <w:spacing w:after="0"/>
              <w:rPr>
                <w:sz w:val="20"/>
                <w:szCs w:val="20"/>
                <w:color w:val="auto"/>
              </w:rPr>
            </w:pPr>
            <w:r>
              <w:rPr>
                <w:rFonts w:ascii="Arial" w:cs="Arial" w:eastAsia="Arial" w:hAnsi="Arial"/>
                <w:sz w:val="14"/>
                <w:szCs w:val="14"/>
                <w:b w:val="1"/>
                <w:bCs w:val="1"/>
                <w:color w:val="00497F"/>
              </w:rPr>
              <w:t>Sales Per Submission</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560" w:type="dxa"/>
            <w:vAlign w:val="bottom"/>
            <w:tcBorders>
              <w:bottom w:val="single" w:sz="8" w:color="B6B6B6"/>
            </w:tcBorders>
          </w:tcPr>
          <w:p>
            <w:pPr>
              <w:jc w:val="right"/>
              <w:ind w:right="668"/>
              <w:spacing w:after="0"/>
              <w:rPr>
                <w:sz w:val="20"/>
                <w:szCs w:val="20"/>
                <w:color w:val="auto"/>
              </w:rPr>
            </w:pPr>
            <w:r>
              <w:rPr>
                <w:rFonts w:ascii="Arial" w:cs="Arial" w:eastAsia="Arial" w:hAnsi="Arial"/>
                <w:sz w:val="14"/>
                <w:szCs w:val="14"/>
                <w:color w:val="auto"/>
              </w:rPr>
              <w:t>$ Change</w:t>
            </w:r>
          </w:p>
        </w:tc>
        <w:tc>
          <w:tcPr>
            <w:tcW w:w="152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color w:val="auto"/>
              </w:rPr>
              <w:t>% Change</w:t>
            </w:r>
          </w:p>
        </w:tc>
      </w:tr>
      <w:tr>
        <w:trPr>
          <w:trHeight w:val="192"/>
        </w:trPr>
        <w:tc>
          <w:tcPr>
            <w:tcW w:w="4440" w:type="dxa"/>
            <w:vAlign w:val="bottom"/>
            <w:tcBorders>
              <w:left w:val="single" w:sz="8" w:color="929292"/>
              <w:bottom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794</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ind w:right="268"/>
              <w:spacing w:after="0"/>
              <w:rPr>
                <w:sz w:val="20"/>
                <w:szCs w:val="20"/>
                <w:color w:val="auto"/>
              </w:rPr>
            </w:pPr>
            <w:r>
              <w:rPr>
                <w:rFonts w:ascii="Arial" w:cs="Arial" w:eastAsia="Arial" w:hAnsi="Arial"/>
                <w:sz w:val="14"/>
                <w:szCs w:val="14"/>
                <w:color w:val="auto"/>
              </w:rPr>
              <w:t>62</w:t>
            </w:r>
          </w:p>
        </w:tc>
        <w:tc>
          <w:tcPr>
            <w:tcW w:w="1520" w:type="dxa"/>
            <w:vAlign w:val="bottom"/>
          </w:tcPr>
          <w:p>
            <w:pPr>
              <w:jc w:val="right"/>
              <w:spacing w:after="0"/>
              <w:rPr>
                <w:sz w:val="20"/>
                <w:szCs w:val="20"/>
                <w:color w:val="auto"/>
              </w:rPr>
            </w:pPr>
            <w:r>
              <w:rPr>
                <w:rFonts w:ascii="Arial" w:cs="Arial" w:eastAsia="Arial" w:hAnsi="Arial"/>
                <w:sz w:val="14"/>
                <w:szCs w:val="14"/>
                <w:color w:val="auto"/>
              </w:rPr>
              <w:t>7.8 %</w:t>
            </w:r>
          </w:p>
        </w:tc>
      </w:tr>
    </w:tbl>
    <w:p>
      <w:pPr>
        <w:spacing w:after="0" w:line="31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following are our Sales/Cost of Submission, Cost of Submission (in thousands) and Cost Per Submission for the three months ended March 31, 2024 and 2023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860" w:type="dxa"/>
            <w:vAlign w:val="bottom"/>
            <w:gridSpan w:val="4"/>
          </w:tcPr>
          <w:p>
            <w:pPr>
              <w:ind w:left="740"/>
              <w:spacing w:after="0"/>
              <w:rPr>
                <w:sz w:val="20"/>
                <w:szCs w:val="20"/>
                <w:color w:val="auto"/>
              </w:rPr>
            </w:pPr>
            <w:r>
              <w:rPr>
                <w:rFonts w:ascii="Arial" w:cs="Arial" w:eastAsia="Arial" w:hAnsi="Arial"/>
                <w:sz w:val="14"/>
                <w:szCs w:val="14"/>
                <w:b w:val="1"/>
                <w:bCs w:val="1"/>
                <w:color w:val="auto"/>
              </w:rPr>
              <w:t>Three months ended Mar. 31,</w:t>
            </w:r>
          </w:p>
        </w:tc>
        <w:tc>
          <w:tcPr>
            <w:tcW w:w="600" w:type="dxa"/>
            <w:vAlign w:val="bottom"/>
          </w:tcPr>
          <w:p>
            <w:pPr>
              <w:spacing w:after="0"/>
              <w:rPr>
                <w:sz w:val="17"/>
                <w:szCs w:val="17"/>
                <w:color w:val="auto"/>
              </w:rPr>
            </w:pPr>
          </w:p>
        </w:tc>
      </w:tr>
      <w:tr>
        <w:trPr>
          <w:trHeight w:val="197"/>
        </w:trPr>
        <w:tc>
          <w:tcPr>
            <w:tcW w:w="7680" w:type="dxa"/>
            <w:vAlign w:val="bottom"/>
            <w:tcBorders>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1120" w:type="dxa"/>
            <w:vAlign w:val="bottom"/>
            <w:tcBorders>
              <w:bottom w:val="single" w:sz="8" w:color="B6B6B6"/>
            </w:tcBorders>
          </w:tcPr>
          <w:p>
            <w:pPr>
              <w:ind w:left="740"/>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B6B6B6"/>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B6B6B6"/>
            </w:tcBorders>
          </w:tcPr>
          <w:p>
            <w:pPr>
              <w:spacing w:after="0"/>
              <w:rPr>
                <w:sz w:val="17"/>
                <w:szCs w:val="17"/>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4"/>
                <w:szCs w:val="14"/>
                <w:color w:val="auto"/>
              </w:rPr>
              <w:t>Sales/Cost of Submission</w:t>
            </w:r>
          </w:p>
        </w:tc>
        <w:tc>
          <w:tcPr>
            <w:tcW w:w="100" w:type="dxa"/>
            <w:vAlign w:val="bottom"/>
            <w:shd w:val="clear" w:color="auto" w:fill="929292"/>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3"/>
        </w:trPr>
        <w:tc>
          <w:tcPr>
            <w:tcW w:w="7680" w:type="dxa"/>
            <w:vAlign w:val="bottom"/>
          </w:tcPr>
          <w:p>
            <w:pPr>
              <w:ind w:left="20"/>
              <w:spacing w:after="0"/>
              <w:rPr>
                <w:sz w:val="20"/>
                <w:szCs w:val="20"/>
                <w:color w:val="auto"/>
              </w:rPr>
            </w:pPr>
            <w:r>
              <w:rPr>
                <w:rFonts w:ascii="Arial" w:cs="Arial" w:eastAsia="Arial" w:hAnsi="Arial"/>
                <w:sz w:val="14"/>
                <w:szCs w:val="14"/>
                <w:color w:val="auto"/>
              </w:rPr>
              <w:t>Cost of Submission</w:t>
            </w:r>
          </w:p>
        </w:tc>
        <w:tc>
          <w:tcPr>
            <w:tcW w:w="100" w:type="dxa"/>
            <w:vAlign w:val="bottom"/>
            <w:shd w:val="clear" w:color="auto" w:fill="929292"/>
          </w:tcPr>
          <w:p>
            <w:pPr>
              <w:spacing w:after="0"/>
              <w:rPr>
                <w:sz w:val="17"/>
                <w:szCs w:val="17"/>
                <w:color w:val="auto"/>
              </w:rPr>
            </w:pP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138,250</w:t>
            </w:r>
          </w:p>
        </w:tc>
        <w:tc>
          <w:tcPr>
            <w:tcW w:w="100" w:type="dxa"/>
            <w:vAlign w:val="bottom"/>
          </w:tcPr>
          <w:p>
            <w:pPr>
              <w:spacing w:after="0"/>
              <w:rPr>
                <w:sz w:val="17"/>
                <w:szCs w:val="17"/>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126,402</w:t>
            </w:r>
          </w:p>
        </w:tc>
      </w:tr>
      <w:tr>
        <w:trPr>
          <w:trHeight w:val="210"/>
        </w:trPr>
        <w:tc>
          <w:tcPr>
            <w:tcW w:w="7680" w:type="dxa"/>
            <w:vAlign w:val="bottom"/>
          </w:tcPr>
          <w:p>
            <w:pPr>
              <w:ind w:left="20"/>
              <w:spacing w:after="0"/>
              <w:rPr>
                <w:sz w:val="20"/>
                <w:szCs w:val="20"/>
                <w:color w:val="auto"/>
              </w:rPr>
            </w:pPr>
            <w:r>
              <w:rPr>
                <w:rFonts w:ascii="Arial" w:cs="Arial" w:eastAsia="Arial" w:hAnsi="Arial"/>
                <w:sz w:val="14"/>
                <w:szCs w:val="14"/>
                <w:color w:val="auto"/>
              </w:rPr>
              <w:t>Cost per Submission</w:t>
            </w:r>
          </w:p>
        </w:tc>
        <w:tc>
          <w:tcPr>
            <w:tcW w:w="100" w:type="dxa"/>
            <w:vAlign w:val="bottom"/>
            <w:shd w:val="clear" w:color="auto" w:fill="929292"/>
          </w:tcPr>
          <w:p>
            <w:pPr>
              <w:spacing w:after="0"/>
              <w:rPr>
                <w:sz w:val="18"/>
                <w:szCs w:val="18"/>
                <w:color w:val="auto"/>
              </w:rPr>
            </w:pP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8"/>
                <w:szCs w:val="18"/>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592</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sectPr>
      <w:pgSz w:w="11900" w:h="16838" w:orient="portrait"/>
      <w:cols w:equalWidth="0" w:num="1">
        <w:col w:w="11240"/>
      </w:cols>
      <w:pgMar w:left="320" w:top="8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2024-05-09T07:00:28Z</dcterms:created>
  <dcterms:modified xsi:type="dcterms:W3CDTF">2024-05-09T07:00:28Z</dcterms:modified>
</cp:coreProperties>
</file>