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252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252845"/>
                    </a:xfrm>
                    <a:prstGeom prst="rect">
                      <a:avLst/>
                    </a:prstGeom>
                    <a:noFill/>
                  </pic:spPr>
                </pic:pic>
              </a:graphicData>
            </a:graphic>
          </wp:anchor>
        </w:drawing>
      </w:r>
    </w:p>
    <w:p>
      <w:pPr>
        <w:spacing w:after="0" w:line="113" w:lineRule="exact"/>
        <w:rPr>
          <w:sz w:val="24"/>
          <w:szCs w:val="24"/>
          <w:color w:val="auto"/>
        </w:rPr>
      </w:pPr>
    </w:p>
    <w:p>
      <w:pPr>
        <w:sectPr>
          <w:pgSz w:w="11900" w:h="16867"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CB Blizzard Holdings C,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375 PARK AVENUE,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GoHealth,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GOCO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11/22/2022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67" w:orient="portrait"/>
          <w:cols w:equalWidth="0" w:num="3">
            <w:col w:w="3200" w:space="720"/>
            <w:col w:w="3095" w:space="720"/>
            <w:col w:w="3345"/>
          </w:cols>
          <w:pgMar w:left="460" w:top="219" w:right="359" w:bottom="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10152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67"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3"/>
                <w:szCs w:val="13"/>
                <w:color w:val="auto"/>
              </w:rPr>
            </w:pP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200" w:type="dxa"/>
            <w:vAlign w:val="bottom"/>
            <w:gridSpan w:val="3"/>
          </w:tcPr>
          <w:p>
            <w:pPr>
              <w:ind w:left="34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20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340"/>
              <w:spacing w:after="0" w:line="133" w:lineRule="exact"/>
              <w:rPr>
                <w:sz w:val="20"/>
                <w:szCs w:val="20"/>
                <w:color w:val="auto"/>
              </w:rPr>
            </w:pPr>
            <w:r>
              <w:rPr>
                <w:rFonts w:ascii="Arial" w:cs="Arial" w:eastAsia="Arial" w:hAnsi="Arial"/>
                <w:sz w:val="12"/>
                <w:szCs w:val="12"/>
                <w:b w:val="1"/>
                <w:bCs w:val="1"/>
                <w:color w:val="auto"/>
                <w:w w:val="99"/>
              </w:rPr>
              <w:t>(D) or</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860" w:type="dxa"/>
            <w:vAlign w:val="bottom"/>
            <w:tcBorders>
              <w:top w:val="single" w:sz="8" w:color="2C2C2C"/>
            </w:tcBorders>
          </w:tcPr>
          <w:p>
            <w:pPr>
              <w:spacing w:after="0"/>
              <w:rPr>
                <w:sz w:val="7"/>
                <w:szCs w:val="7"/>
                <w:color w:val="auto"/>
              </w:rPr>
            </w:pPr>
          </w:p>
        </w:tc>
        <w:tc>
          <w:tcPr>
            <w:tcW w:w="840" w:type="dxa"/>
            <w:vAlign w:val="bottom"/>
            <w:gridSpan w:val="2"/>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3"/>
                <w:szCs w:val="13"/>
                <w:color w:val="auto"/>
              </w:rPr>
            </w:pPr>
          </w:p>
        </w:tc>
        <w:tc>
          <w:tcPr>
            <w:tcW w:w="860" w:type="dxa"/>
            <w:vAlign w:val="bottom"/>
          </w:tcPr>
          <w:p>
            <w:pPr>
              <w:ind w:left="100"/>
              <w:spacing w:after="0"/>
              <w:rPr>
                <w:sz w:val="20"/>
                <w:szCs w:val="20"/>
                <w:color w:val="auto"/>
              </w:rPr>
            </w:pPr>
            <w:r>
              <w:rPr>
                <w:rFonts w:ascii="Arial" w:cs="Arial" w:eastAsia="Arial" w:hAnsi="Arial"/>
                <w:sz w:val="12"/>
                <w:szCs w:val="12"/>
                <w:b w:val="1"/>
                <w:bCs w:val="1"/>
                <w:color w:val="auto"/>
              </w:rPr>
              <w:t>Price</w:t>
            </w:r>
          </w:p>
        </w:tc>
        <w:tc>
          <w:tcPr>
            <w:tcW w:w="1520" w:type="dxa"/>
            <w:vAlign w:val="bottom"/>
            <w:gridSpan w:val="3"/>
          </w:tcPr>
          <w:p>
            <w:pPr>
              <w:ind w:left="80"/>
              <w:spacing w:after="0"/>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860" w:type="dxa"/>
            <w:vAlign w:val="bottom"/>
            <w:tcBorders>
              <w:bottom w:val="single" w:sz="8" w:color="2C2C2C"/>
            </w:tcBorders>
          </w:tcPr>
          <w:p>
            <w:pPr>
              <w:spacing w:after="0"/>
              <w:rPr>
                <w:sz w:val="15"/>
                <w:szCs w:val="15"/>
                <w:color w:val="auto"/>
              </w:rPr>
            </w:pPr>
          </w:p>
        </w:tc>
        <w:tc>
          <w:tcPr>
            <w:tcW w:w="1520" w:type="dxa"/>
            <w:vAlign w:val="bottom"/>
            <w:tcBorders>
              <w:bottom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11/22/2022</w:t>
            </w:r>
          </w:p>
        </w:tc>
        <w:tc>
          <w:tcPr>
            <w:tcW w:w="8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380" w:type="dxa"/>
            <w:vAlign w:val="bottom"/>
          </w:tcPr>
          <w:p>
            <w:pPr>
              <w:spacing w:after="0"/>
              <w:rPr>
                <w:sz w:val="21"/>
                <w:szCs w:val="21"/>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22,918</w:t>
            </w: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60" w:type="dxa"/>
            <w:vAlign w:val="bottom"/>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7.9037</w:t>
            </w:r>
            <w:r>
              <w:rPr>
                <w:rFonts w:ascii="Times New Roman" w:cs="Times New Roman" w:eastAsia="Times New Roman" w:hAnsi="Times New Roman"/>
                <w:sz w:val="22"/>
                <w:szCs w:val="22"/>
                <w:color w:val="008000"/>
                <w:w w:val="95"/>
                <w:vertAlign w:val="superscript"/>
              </w:rPr>
              <w:t>(1)</w:t>
            </w:r>
          </w:p>
        </w:tc>
        <w:tc>
          <w:tcPr>
            <w:tcW w:w="15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3,451,472</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11/22/2022</w:t>
            </w:r>
          </w:p>
        </w:tc>
        <w:tc>
          <w:tcPr>
            <w:tcW w:w="8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3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27,734</w:t>
            </w:r>
          </w:p>
        </w:tc>
        <w:tc>
          <w:tcPr>
            <w:tcW w:w="4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8.5362</w:t>
            </w:r>
            <w:r>
              <w:rPr>
                <w:rFonts w:ascii="Times New Roman" w:cs="Times New Roman" w:eastAsia="Times New Roman" w:hAnsi="Times New Roman"/>
                <w:sz w:val="22"/>
                <w:szCs w:val="22"/>
                <w:color w:val="008000"/>
                <w:w w:val="95"/>
                <w:vertAlign w:val="superscript"/>
              </w:rPr>
              <w:t>(5)</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3,479,206</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11/22/2022</w:t>
            </w:r>
          </w:p>
        </w:tc>
        <w:tc>
          <w:tcPr>
            <w:tcW w:w="8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3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4,961</w:t>
            </w:r>
          </w:p>
        </w:tc>
        <w:tc>
          <w:tcPr>
            <w:tcW w:w="4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9.004</w:t>
            </w:r>
            <w:r>
              <w:rPr>
                <w:rFonts w:ascii="Times New Roman" w:cs="Times New Roman" w:eastAsia="Times New Roman" w:hAnsi="Times New Roman"/>
                <w:sz w:val="22"/>
                <w:szCs w:val="22"/>
                <w:color w:val="008000"/>
                <w:w w:val="95"/>
                <w:vertAlign w:val="superscript"/>
              </w:rPr>
              <w:t>(6)</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3,484,167</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11/23/2022</w:t>
            </w:r>
          </w:p>
        </w:tc>
        <w:tc>
          <w:tcPr>
            <w:tcW w:w="8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3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7,569</w:t>
            </w:r>
          </w:p>
        </w:tc>
        <w:tc>
          <w:tcPr>
            <w:tcW w:w="4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8.9037</w:t>
            </w:r>
            <w:r>
              <w:rPr>
                <w:rFonts w:ascii="Times New Roman" w:cs="Times New Roman" w:eastAsia="Times New Roman" w:hAnsi="Times New Roman"/>
                <w:sz w:val="22"/>
                <w:szCs w:val="22"/>
                <w:color w:val="008000"/>
                <w:w w:val="95"/>
                <w:vertAlign w:val="superscript"/>
              </w:rPr>
              <w:t>(7)</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3,491,736</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footnotes</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11/23/2022</w:t>
            </w:r>
          </w:p>
        </w:tc>
        <w:tc>
          <w:tcPr>
            <w:tcW w:w="8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3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20,033</w:t>
            </w:r>
          </w:p>
        </w:tc>
        <w:tc>
          <w:tcPr>
            <w:tcW w:w="40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9.171</w:t>
            </w:r>
            <w:r>
              <w:rPr>
                <w:rFonts w:ascii="Times New Roman" w:cs="Times New Roman" w:eastAsia="Times New Roman" w:hAnsi="Times New Roman"/>
                <w:sz w:val="22"/>
                <w:szCs w:val="22"/>
                <w:color w:val="008000"/>
                <w:w w:val="95"/>
                <w:vertAlign w:val="superscript"/>
              </w:rPr>
              <w:t>(8)</w:t>
            </w:r>
          </w:p>
        </w:tc>
        <w:tc>
          <w:tcPr>
            <w:tcW w:w="1520" w:type="dxa"/>
            <w:vAlign w:val="bottom"/>
            <w:tcBorders>
              <w:top w:val="single" w:sz="8" w:color="2C2C2C"/>
            </w:tcBorders>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3,511,769</w:t>
            </w:r>
          </w:p>
        </w:tc>
        <w:tc>
          <w:tcPr>
            <w:tcW w:w="2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60" w:type="dxa"/>
            <w:vAlign w:val="bottom"/>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96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4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8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8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Security (Instr.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ind w:left="420"/>
              <w:spacing w:after="0"/>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Expiration</w:t>
            </w:r>
          </w:p>
        </w:tc>
        <w:tc>
          <w:tcPr>
            <w:tcW w:w="8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$7.755 to $7.99.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transactions reported herein, includes (i) 2,712,197 shares of Class A Common Stock held of record by CB Blizzard Lower Holdings A, L.P. ("CB Blizzard A") and (ii) 799,572 shares of Class A Common Stock held of record by CB Blizzard Holdings C, L.P. ("CB Blizzard C").</w:t>
      </w:r>
    </w:p>
    <w:p>
      <w:pPr>
        <w:spacing w:after="0" w:line="7" w:lineRule="exact"/>
        <w:rPr>
          <w:rFonts w:ascii="Times New Roman" w:cs="Times New Roman" w:eastAsia="Times New Roman" w:hAnsi="Times New Roman"/>
          <w:sz w:val="13"/>
          <w:szCs w:val="13"/>
          <w:color w:val="008000"/>
        </w:rPr>
      </w:pPr>
    </w:p>
    <w:p>
      <w:pPr>
        <w:ind w:left="40" w:right="14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CCP III Cayman GP Ltd. ("CCP GP") is the general partner of CB Blizzard C and may be deemed to share beneficial ownership of the securities held of record by CB Blizzard C. CCP GP is also the general partner of Centerbridge Associates III, L.P., which is the general partner of each of CCP III AIV VII Holdings, L.P. and CB Blizzard Co-Invest Holdings, L.P., which are the owners of CB Blizzard Lower Holdings GP A, LLC, which is the general partner of CB Blizzard A. As a result, each of the foregoing entities may be deemed to share beneficial ownership of the securities held of record by CB Blizzard A. CCP GP is also the sole manager of Blizzard Aggregator, LLC, which is the owner of CB Blizzard Lower Holdings GP B, LLC, which is the general partner of CB Blizzard Lower Holdings B, L.P. ("CB Blizzard B"). As a result, each of the foregoing entities may be deemed to share beneficial ownership of the securities held of record by CB Blizzard B.</w:t>
      </w:r>
    </w:p>
    <w:p>
      <w:pPr>
        <w:spacing w:after="0" w:line="26" w:lineRule="exact"/>
        <w:rPr>
          <w:rFonts w:ascii="Times New Roman" w:cs="Times New Roman" w:eastAsia="Times New Roman" w:hAnsi="Times New Roman"/>
          <w:sz w:val="13"/>
          <w:szCs w:val="13"/>
          <w:color w:val="008000"/>
        </w:rPr>
      </w:pPr>
    </w:p>
    <w:p>
      <w:pPr>
        <w:ind w:left="40" w:right="2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Jeffrey H. Aronson is the sole director of CCP GP and, as a result, may be deemed to share beneficial ownership of the securities held of record by each of CB Blizzard A, CB Blizzard C and CB Blizzard B. However, none of the foregoing should be construed in and of itself as an admission by Mr. Aronson or by any Reporting Person as to beneficial ownership of securities owned by another Reporting Person. In addition, Mr. Aronson expressly disclaims beneficial ownership of the securities held of record by each of CB Blizzard A, CB Blizzard C and CB Blizzard B, except to the extent of any proportionate pecuniary interest therein.</w:t>
      </w:r>
    </w:p>
    <w:p>
      <w:pPr>
        <w:spacing w:after="0" w:line="24"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$8.00 to $8.99.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$9.00 to $9.08.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$8.80 to $8.99.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$9.00 to $9.42.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67" w:orient="portrait"/>
          <w:cols w:equalWidth="0" w:num="1">
            <w:col w:w="11080"/>
          </w:cols>
          <w:pgMar w:left="460" w:top="219" w:right="359" w:bottom="0" w:gutter="0" w:footer="0" w:header="0"/>
          <w:type w:val="continuous"/>
        </w:sectPr>
      </w:pP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Due to the limitations of the electronic filing system, each of CCP III Cayman GP Ltd., Centerbridge Associates III, L.P., CCP III AIV VII Holdings, L.P., CB Blizzard Co-Invest Holdings, L.P., Blizzard</w:t>
      </w:r>
    </w:p>
    <w:p>
      <w:pPr>
        <w:sectPr>
          <w:pgSz w:w="11900" w:h="16867"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Aggregator, LLC, Jeffrey H. Aronson, CB Blizzard Lower Holdings GP A, LLC, CB Blizzard Lower Holdings A, L.P., CB Blizzard Lower Holdings GP B, LLC and CB Blizzard Lower Holdings B, L.P.</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are filing on a separate Form 4.</w:t>
      </w:r>
    </w:p>
    <w:p>
      <w:pPr>
        <w:sectPr>
          <w:pgSz w:w="11900" w:h="16838" w:orient="portrait"/>
          <w:cols w:equalWidth="0" w:num="1">
            <w:col w:w="10840"/>
          </w:cols>
          <w:pgMar w:left="500" w:top="127" w:right="559" w:bottom="1440" w:gutter="0" w:footer="0" w:header="0"/>
        </w:sectPr>
      </w:pPr>
    </w:p>
    <w:p>
      <w:pPr>
        <w:spacing w:after="0" w:line="6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CB BLIZZARD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074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 L.P., By: CCP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8864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8646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CAYMAN GP LTD.,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48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3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Susanne V. Clark,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11/25/2022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20" w:space="120"/>
            <w:col w:w="2100"/>
          </w:cols>
          <w:pgMar w:left="500" w:top="127" w:right="55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7"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2" Type="http://schemas.openxmlformats.org/officeDocument/2006/relationships/hyperlink" Target="http://www.sec.gov/cgi-bin/browse-edgar?action=getcompany&amp;CIK=0001953976" TargetMode="External"/><Relationship Id="rId13"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2022-11-25T15:47:07Z</dcterms:created>
  <dcterms:modified xsi:type="dcterms:W3CDTF">2022-11-25T15:47:07Z</dcterms:modified>
</cp:coreProperties>
</file>