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18, 2025</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8540" w:space="720"/>
            <w:col w:w="1980"/>
          </w:cols>
          <w:pgMar w:left="320" w:top="1405" w:right="3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80" w:space="720"/>
            <w:col w:w="21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June 18, 2025, GoHealth, Inc. (the “Company”) held its 2025 Annual Meeting of Stockholders (the “Annual Meeting”). The following are the voting results for the proposals considered and voted upon at the Annual Meeting, each of which was described in the Company’s Definitive Proxy Statement filed with the Securities and Exchange Commission on April 28, 2025.</w:t>
      </w:r>
    </w:p>
    <w:p>
      <w:pPr>
        <w:spacing w:after="0" w:line="20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Proposal 1 — Election of three Class II directors for a term of office expiring on the date of the annual meeting of stockholders to be held in 2028 and until their respective successors have been duly elected and qualified.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w w:val="98"/>
              </w:rPr>
              <w:t>Votes FOR</w:t>
            </w:r>
          </w:p>
        </w:tc>
        <w:tc>
          <w:tcPr>
            <w:tcW w:w="17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Votes WITHHELD</w:t>
            </w:r>
          </w:p>
        </w:tc>
        <w:tc>
          <w:tcPr>
            <w:tcW w:w="760" w:type="dxa"/>
            <w:vAlign w:val="bottom"/>
          </w:tcPr>
          <w:p>
            <w:pPr>
              <w:spacing w:after="0"/>
              <w:rPr>
                <w:sz w:val="16"/>
                <w:szCs w:val="16"/>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Broker Non-Votes</w:t>
            </w:r>
          </w:p>
        </w:tc>
      </w:tr>
      <w:tr>
        <w:trPr>
          <w:trHeight w:val="20"/>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2520" w:type="dxa"/>
            <w:vAlign w:val="bottom"/>
          </w:tcPr>
          <w:p>
            <w:pPr>
              <w:spacing w:after="0"/>
              <w:rPr>
                <w:sz w:val="20"/>
                <w:szCs w:val="20"/>
                <w:color w:val="auto"/>
              </w:rPr>
            </w:pPr>
            <w:r>
              <w:rPr>
                <w:rFonts w:ascii="Arial" w:cs="Arial" w:eastAsia="Arial" w:hAnsi="Arial"/>
                <w:sz w:val="16"/>
                <w:szCs w:val="16"/>
                <w:color w:val="auto"/>
              </w:rPr>
              <w:t>Brandon M. Cruz</w:t>
            </w:r>
          </w:p>
        </w:tc>
        <w:tc>
          <w:tcPr>
            <w:tcW w:w="3840" w:type="dxa"/>
            <w:vAlign w:val="bottom"/>
            <w:gridSpan w:val="3"/>
          </w:tcPr>
          <w:p>
            <w:pPr>
              <w:ind w:left="1280"/>
              <w:spacing w:after="0"/>
              <w:rPr>
                <w:sz w:val="20"/>
                <w:szCs w:val="20"/>
                <w:color w:val="auto"/>
              </w:rPr>
            </w:pPr>
            <w:r>
              <w:rPr>
                <w:rFonts w:ascii="Arial" w:cs="Arial" w:eastAsia="Arial" w:hAnsi="Arial"/>
                <w:sz w:val="16"/>
                <w:szCs w:val="16"/>
                <w:color w:val="auto"/>
              </w:rPr>
              <w:t>17,218,021</w:t>
            </w:r>
          </w:p>
        </w:tc>
        <w:tc>
          <w:tcPr>
            <w:tcW w:w="1300" w:type="dxa"/>
            <w:vAlign w:val="bottom"/>
          </w:tcPr>
          <w:p>
            <w:pPr>
              <w:jc w:val="center"/>
              <w:spacing w:after="0"/>
              <w:rPr>
                <w:sz w:val="20"/>
                <w:szCs w:val="20"/>
                <w:color w:val="auto"/>
              </w:rPr>
            </w:pPr>
            <w:r>
              <w:rPr>
                <w:rFonts w:ascii="Arial" w:cs="Arial" w:eastAsia="Arial" w:hAnsi="Arial"/>
                <w:sz w:val="16"/>
                <w:szCs w:val="16"/>
                <w:color w:val="auto"/>
              </w:rPr>
              <w:t>827,300</w:t>
            </w:r>
          </w:p>
        </w:tc>
        <w:tc>
          <w:tcPr>
            <w:tcW w:w="760" w:type="dxa"/>
            <w:vAlign w:val="bottom"/>
          </w:tcPr>
          <w:p>
            <w:pPr>
              <w:spacing w:after="0"/>
              <w:rPr>
                <w:sz w:val="21"/>
                <w:szCs w:val="21"/>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4,104,438</w:t>
            </w:r>
          </w:p>
        </w:tc>
      </w:tr>
      <w:tr>
        <w:trPr>
          <w:trHeight w:val="230"/>
        </w:trPr>
        <w:tc>
          <w:tcPr>
            <w:tcW w:w="2520" w:type="dxa"/>
            <w:vAlign w:val="bottom"/>
          </w:tcPr>
          <w:p>
            <w:pPr>
              <w:spacing w:after="0"/>
              <w:rPr>
                <w:sz w:val="20"/>
                <w:szCs w:val="20"/>
                <w:color w:val="auto"/>
              </w:rPr>
            </w:pPr>
            <w:r>
              <w:rPr>
                <w:rFonts w:ascii="Arial" w:cs="Arial" w:eastAsia="Arial" w:hAnsi="Arial"/>
                <w:sz w:val="16"/>
                <w:szCs w:val="16"/>
                <w:color w:val="auto"/>
              </w:rPr>
              <w:t>Alan Wheatley</w:t>
            </w:r>
          </w:p>
        </w:tc>
        <w:tc>
          <w:tcPr>
            <w:tcW w:w="3840" w:type="dxa"/>
            <w:vAlign w:val="bottom"/>
            <w:gridSpan w:val="3"/>
          </w:tcPr>
          <w:p>
            <w:pPr>
              <w:ind w:left="1280"/>
              <w:spacing w:after="0"/>
              <w:rPr>
                <w:sz w:val="20"/>
                <w:szCs w:val="20"/>
                <w:color w:val="auto"/>
              </w:rPr>
            </w:pPr>
            <w:r>
              <w:rPr>
                <w:rFonts w:ascii="Arial" w:cs="Arial" w:eastAsia="Arial" w:hAnsi="Arial"/>
                <w:sz w:val="16"/>
                <w:szCs w:val="16"/>
                <w:color w:val="auto"/>
              </w:rPr>
              <w:t>17,932,740</w:t>
            </w:r>
          </w:p>
        </w:tc>
        <w:tc>
          <w:tcPr>
            <w:tcW w:w="1300" w:type="dxa"/>
            <w:vAlign w:val="bottom"/>
          </w:tcPr>
          <w:p>
            <w:pPr>
              <w:jc w:val="center"/>
              <w:spacing w:after="0"/>
              <w:rPr>
                <w:sz w:val="20"/>
                <w:szCs w:val="20"/>
                <w:color w:val="auto"/>
              </w:rPr>
            </w:pPr>
            <w:r>
              <w:rPr>
                <w:rFonts w:ascii="Arial" w:cs="Arial" w:eastAsia="Arial" w:hAnsi="Arial"/>
                <w:sz w:val="16"/>
                <w:szCs w:val="16"/>
                <w:color w:val="auto"/>
              </w:rPr>
              <w:t>112,581</w:t>
            </w:r>
          </w:p>
        </w:tc>
        <w:tc>
          <w:tcPr>
            <w:tcW w:w="760" w:type="dxa"/>
            <w:vAlign w:val="bottom"/>
          </w:tcPr>
          <w:p>
            <w:pPr>
              <w:spacing w:after="0"/>
              <w:rPr>
                <w:sz w:val="19"/>
                <w:szCs w:val="19"/>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4,104,438</w:t>
            </w:r>
          </w:p>
        </w:tc>
      </w:tr>
      <w:tr>
        <w:trPr>
          <w:trHeight w:val="229"/>
        </w:trPr>
        <w:tc>
          <w:tcPr>
            <w:tcW w:w="2520" w:type="dxa"/>
            <w:vAlign w:val="bottom"/>
          </w:tcPr>
          <w:p>
            <w:pPr>
              <w:spacing w:after="0"/>
              <w:rPr>
                <w:sz w:val="20"/>
                <w:szCs w:val="20"/>
                <w:color w:val="auto"/>
              </w:rPr>
            </w:pPr>
            <w:r>
              <w:rPr>
                <w:rFonts w:ascii="Arial" w:cs="Arial" w:eastAsia="Arial" w:hAnsi="Arial"/>
                <w:sz w:val="16"/>
                <w:szCs w:val="16"/>
                <w:color w:val="auto"/>
              </w:rPr>
              <w:t>Abhiraj R. Modi</w:t>
            </w:r>
          </w:p>
        </w:tc>
        <w:tc>
          <w:tcPr>
            <w:tcW w:w="3840" w:type="dxa"/>
            <w:vAlign w:val="bottom"/>
            <w:gridSpan w:val="3"/>
          </w:tcPr>
          <w:p>
            <w:pPr>
              <w:ind w:left="1280"/>
              <w:spacing w:after="0"/>
              <w:rPr>
                <w:sz w:val="20"/>
                <w:szCs w:val="20"/>
                <w:color w:val="auto"/>
              </w:rPr>
            </w:pPr>
            <w:r>
              <w:rPr>
                <w:rFonts w:ascii="Arial" w:cs="Arial" w:eastAsia="Arial" w:hAnsi="Arial"/>
                <w:sz w:val="16"/>
                <w:szCs w:val="16"/>
                <w:color w:val="auto"/>
              </w:rPr>
              <w:t>17,619,537</w:t>
            </w:r>
          </w:p>
        </w:tc>
        <w:tc>
          <w:tcPr>
            <w:tcW w:w="1300" w:type="dxa"/>
            <w:vAlign w:val="bottom"/>
          </w:tcPr>
          <w:p>
            <w:pPr>
              <w:jc w:val="center"/>
              <w:spacing w:after="0"/>
              <w:rPr>
                <w:sz w:val="20"/>
                <w:szCs w:val="20"/>
                <w:color w:val="auto"/>
              </w:rPr>
            </w:pPr>
            <w:r>
              <w:rPr>
                <w:rFonts w:ascii="Arial" w:cs="Arial" w:eastAsia="Arial" w:hAnsi="Arial"/>
                <w:sz w:val="16"/>
                <w:szCs w:val="16"/>
                <w:color w:val="auto"/>
              </w:rPr>
              <w:t>425,784</w:t>
            </w:r>
          </w:p>
        </w:tc>
        <w:tc>
          <w:tcPr>
            <w:tcW w:w="760" w:type="dxa"/>
            <w:vAlign w:val="bottom"/>
          </w:tcPr>
          <w:p>
            <w:pPr>
              <w:spacing w:after="0"/>
              <w:rPr>
                <w:sz w:val="19"/>
                <w:szCs w:val="19"/>
                <w:color w:val="auto"/>
              </w:rPr>
            </w:pPr>
          </w:p>
        </w:tc>
        <w:tc>
          <w:tcPr>
            <w:tcW w:w="2040" w:type="dxa"/>
            <w:vAlign w:val="bottom"/>
            <w:gridSpan w:val="2"/>
          </w:tcPr>
          <w:p>
            <w:pPr>
              <w:jc w:val="center"/>
              <w:ind w:left="679"/>
              <w:spacing w:after="0"/>
              <w:rPr>
                <w:sz w:val="20"/>
                <w:szCs w:val="20"/>
                <w:color w:val="auto"/>
              </w:rPr>
            </w:pPr>
            <w:r>
              <w:rPr>
                <w:rFonts w:ascii="Arial" w:cs="Arial" w:eastAsia="Arial" w:hAnsi="Arial"/>
                <w:sz w:val="16"/>
                <w:szCs w:val="16"/>
                <w:color w:val="auto"/>
              </w:rPr>
              <w:t>4,104,438</w:t>
            </w:r>
          </w:p>
        </w:tc>
      </w:tr>
    </w:tbl>
    <w:p>
      <w:pPr>
        <w:spacing w:after="0" w:line="31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Proposal 2 — Ratification of the appointment of Ernst &amp; Young LLP as the Company’s independent registered public accounting firm for the year ending December 31, 2025.</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Votes FOR</w:t>
            </w:r>
          </w:p>
        </w:tc>
        <w:tc>
          <w:tcPr>
            <w:tcW w:w="2860" w:type="dxa"/>
            <w:vAlign w:val="bottom"/>
            <w:gridSpan w:val="3"/>
          </w:tcPr>
          <w:p>
            <w:pPr>
              <w:jc w:val="center"/>
              <w:ind w:left="59"/>
              <w:spacing w:after="0"/>
              <w:rPr>
                <w:sz w:val="20"/>
                <w:szCs w:val="20"/>
                <w:color w:val="auto"/>
              </w:rPr>
            </w:pPr>
            <w:r>
              <w:rPr>
                <w:rFonts w:ascii="Arial" w:cs="Arial" w:eastAsia="Arial" w:hAnsi="Arial"/>
                <w:sz w:val="16"/>
                <w:szCs w:val="16"/>
                <w:color w:val="auto"/>
              </w:rPr>
              <w:t>Votes AGAINST</w:t>
            </w:r>
          </w:p>
        </w:tc>
        <w:tc>
          <w:tcPr>
            <w:tcW w:w="2880" w:type="dxa"/>
            <w:vAlign w:val="bottom"/>
            <w:gridSpan w:val="3"/>
          </w:tcPr>
          <w:p>
            <w:pPr>
              <w:jc w:val="center"/>
              <w:spacing w:after="0"/>
              <w:rPr>
                <w:sz w:val="20"/>
                <w:szCs w:val="20"/>
                <w:color w:val="auto"/>
              </w:rPr>
            </w:pPr>
            <w:r>
              <w:rPr>
                <w:rFonts w:ascii="Arial" w:cs="Arial" w:eastAsia="Arial" w:hAnsi="Arial"/>
                <w:sz w:val="16"/>
                <w:szCs w:val="16"/>
                <w:color w:val="auto"/>
                <w:w w:val="99"/>
              </w:rPr>
              <w:t>Votes ABSTAINED</w:t>
            </w:r>
          </w:p>
        </w:tc>
        <w:tc>
          <w:tcPr>
            <w:tcW w:w="2020" w:type="dxa"/>
            <w:vAlign w:val="bottom"/>
            <w:gridSpan w:val="2"/>
          </w:tcPr>
          <w:p>
            <w:pPr>
              <w:jc w:val="center"/>
              <w:ind w:left="659"/>
              <w:spacing w:after="0"/>
              <w:rPr>
                <w:sz w:val="20"/>
                <w:szCs w:val="20"/>
                <w:color w:val="auto"/>
              </w:rPr>
            </w:pPr>
            <w:r>
              <w:rPr>
                <w:rFonts w:ascii="Arial" w:cs="Arial" w:eastAsia="Arial" w:hAnsi="Arial"/>
                <w:sz w:val="16"/>
                <w:szCs w:val="16"/>
                <w:color w:val="auto"/>
              </w:rPr>
              <w:t>Broker Non-Votes</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1720" w:type="dxa"/>
            <w:vAlign w:val="bottom"/>
            <w:gridSpan w:val="3"/>
          </w:tcPr>
          <w:p>
            <w:pPr>
              <w:spacing w:after="0"/>
              <w:rPr>
                <w:sz w:val="20"/>
                <w:szCs w:val="20"/>
                <w:color w:val="auto"/>
              </w:rPr>
            </w:pPr>
            <w:r>
              <w:rPr>
                <w:rFonts w:ascii="Arial" w:cs="Arial" w:eastAsia="Arial" w:hAnsi="Arial"/>
                <w:sz w:val="16"/>
                <w:szCs w:val="16"/>
                <w:color w:val="auto"/>
              </w:rPr>
              <w:t>21,544,738</w:t>
            </w:r>
          </w:p>
        </w:tc>
        <w:tc>
          <w:tcPr>
            <w:tcW w:w="2080" w:type="dxa"/>
            <w:vAlign w:val="bottom"/>
            <w:gridSpan w:val="2"/>
          </w:tcPr>
          <w:p>
            <w:pPr>
              <w:jc w:val="right"/>
              <w:ind w:right="280"/>
              <w:spacing w:after="0"/>
              <w:rPr>
                <w:sz w:val="20"/>
                <w:szCs w:val="20"/>
                <w:color w:val="auto"/>
              </w:rPr>
            </w:pPr>
            <w:r>
              <w:rPr>
                <w:rFonts w:ascii="Arial" w:cs="Arial" w:eastAsia="Arial" w:hAnsi="Arial"/>
                <w:sz w:val="16"/>
                <w:szCs w:val="16"/>
                <w:color w:val="auto"/>
              </w:rPr>
              <w:t>557,922</w:t>
            </w:r>
          </w:p>
        </w:tc>
        <w:tc>
          <w:tcPr>
            <w:tcW w:w="780" w:type="dxa"/>
            <w:vAlign w:val="bottom"/>
          </w:tcPr>
          <w:p>
            <w:pPr>
              <w:spacing w:after="0"/>
              <w:rPr>
                <w:sz w:val="21"/>
                <w:szCs w:val="21"/>
                <w:color w:val="auto"/>
              </w:rPr>
            </w:pPr>
          </w:p>
        </w:tc>
        <w:tc>
          <w:tcPr>
            <w:tcW w:w="2120" w:type="dxa"/>
            <w:vAlign w:val="bottom"/>
            <w:gridSpan w:val="2"/>
          </w:tcPr>
          <w:p>
            <w:pPr>
              <w:jc w:val="right"/>
              <w:ind w:right="420"/>
              <w:spacing w:after="0"/>
              <w:rPr>
                <w:sz w:val="20"/>
                <w:szCs w:val="20"/>
                <w:color w:val="auto"/>
              </w:rPr>
            </w:pPr>
            <w:r>
              <w:rPr>
                <w:rFonts w:ascii="Arial" w:cs="Arial" w:eastAsia="Arial" w:hAnsi="Arial"/>
                <w:sz w:val="16"/>
                <w:szCs w:val="16"/>
                <w:color w:val="auto"/>
              </w:rPr>
              <w:t>47,099</w:t>
            </w:r>
          </w:p>
        </w:tc>
        <w:tc>
          <w:tcPr>
            <w:tcW w:w="760" w:type="dxa"/>
            <w:vAlign w:val="bottom"/>
          </w:tcPr>
          <w:p>
            <w:pPr>
              <w:spacing w:after="0"/>
              <w:rPr>
                <w:sz w:val="21"/>
                <w:szCs w:val="21"/>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6"/>
                <w:szCs w:val="16"/>
                <w:color w:val="auto"/>
              </w:rPr>
              <w:t>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Proposal 3 — Approval, on an advisory basis, of the compensation of the Company’s named executive officers.</w:t>
      </w: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Votes FOR</w:t>
            </w:r>
          </w:p>
        </w:tc>
        <w:tc>
          <w:tcPr>
            <w:tcW w:w="2860" w:type="dxa"/>
            <w:vAlign w:val="bottom"/>
            <w:gridSpan w:val="3"/>
          </w:tcPr>
          <w:p>
            <w:pPr>
              <w:jc w:val="center"/>
              <w:ind w:left="59"/>
              <w:spacing w:after="0"/>
              <w:rPr>
                <w:sz w:val="20"/>
                <w:szCs w:val="20"/>
                <w:color w:val="auto"/>
              </w:rPr>
            </w:pPr>
            <w:r>
              <w:rPr>
                <w:rFonts w:ascii="Arial" w:cs="Arial" w:eastAsia="Arial" w:hAnsi="Arial"/>
                <w:sz w:val="16"/>
                <w:szCs w:val="16"/>
                <w:color w:val="auto"/>
              </w:rPr>
              <w:t>Votes AGAINST</w:t>
            </w:r>
          </w:p>
        </w:tc>
        <w:tc>
          <w:tcPr>
            <w:tcW w:w="2880" w:type="dxa"/>
            <w:vAlign w:val="bottom"/>
            <w:gridSpan w:val="3"/>
          </w:tcPr>
          <w:p>
            <w:pPr>
              <w:jc w:val="center"/>
              <w:spacing w:after="0"/>
              <w:rPr>
                <w:sz w:val="20"/>
                <w:szCs w:val="20"/>
                <w:color w:val="auto"/>
              </w:rPr>
            </w:pPr>
            <w:r>
              <w:rPr>
                <w:rFonts w:ascii="Arial" w:cs="Arial" w:eastAsia="Arial" w:hAnsi="Arial"/>
                <w:sz w:val="16"/>
                <w:szCs w:val="16"/>
                <w:color w:val="auto"/>
                <w:w w:val="99"/>
              </w:rPr>
              <w:t>Votes ABSTAINED</w:t>
            </w:r>
          </w:p>
        </w:tc>
        <w:tc>
          <w:tcPr>
            <w:tcW w:w="2020" w:type="dxa"/>
            <w:vAlign w:val="bottom"/>
            <w:gridSpan w:val="2"/>
          </w:tcPr>
          <w:p>
            <w:pPr>
              <w:jc w:val="center"/>
              <w:ind w:left="659"/>
              <w:spacing w:after="0"/>
              <w:rPr>
                <w:sz w:val="20"/>
                <w:szCs w:val="20"/>
                <w:color w:val="auto"/>
              </w:rPr>
            </w:pPr>
            <w:r>
              <w:rPr>
                <w:rFonts w:ascii="Arial" w:cs="Arial" w:eastAsia="Arial" w:hAnsi="Arial"/>
                <w:sz w:val="16"/>
                <w:szCs w:val="16"/>
                <w:color w:val="auto"/>
              </w:rPr>
              <w:t>Broker Non-Votes</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1720" w:type="dxa"/>
            <w:vAlign w:val="bottom"/>
            <w:gridSpan w:val="3"/>
          </w:tcPr>
          <w:p>
            <w:pPr>
              <w:spacing w:after="0"/>
              <w:rPr>
                <w:sz w:val="20"/>
                <w:szCs w:val="20"/>
                <w:color w:val="auto"/>
              </w:rPr>
            </w:pPr>
            <w:r>
              <w:rPr>
                <w:rFonts w:ascii="Arial" w:cs="Arial" w:eastAsia="Arial" w:hAnsi="Arial"/>
                <w:sz w:val="16"/>
                <w:szCs w:val="16"/>
                <w:color w:val="auto"/>
              </w:rPr>
              <w:t>17,026,293</w:t>
            </w:r>
          </w:p>
        </w:tc>
        <w:tc>
          <w:tcPr>
            <w:tcW w:w="2080" w:type="dxa"/>
            <w:vAlign w:val="bottom"/>
            <w:gridSpan w:val="2"/>
          </w:tcPr>
          <w:p>
            <w:pPr>
              <w:jc w:val="right"/>
              <w:ind w:right="280"/>
              <w:spacing w:after="0"/>
              <w:rPr>
                <w:sz w:val="20"/>
                <w:szCs w:val="20"/>
                <w:color w:val="auto"/>
              </w:rPr>
            </w:pPr>
            <w:r>
              <w:rPr>
                <w:rFonts w:ascii="Arial" w:cs="Arial" w:eastAsia="Arial" w:hAnsi="Arial"/>
                <w:sz w:val="16"/>
                <w:szCs w:val="16"/>
                <w:color w:val="auto"/>
              </w:rPr>
              <w:t>992,227</w:t>
            </w:r>
          </w:p>
        </w:tc>
        <w:tc>
          <w:tcPr>
            <w:tcW w:w="780" w:type="dxa"/>
            <w:vAlign w:val="bottom"/>
          </w:tcPr>
          <w:p>
            <w:pPr>
              <w:spacing w:after="0"/>
              <w:rPr>
                <w:sz w:val="21"/>
                <w:szCs w:val="21"/>
                <w:color w:val="auto"/>
              </w:rPr>
            </w:pPr>
          </w:p>
        </w:tc>
        <w:tc>
          <w:tcPr>
            <w:tcW w:w="2120" w:type="dxa"/>
            <w:vAlign w:val="bottom"/>
            <w:gridSpan w:val="2"/>
          </w:tcPr>
          <w:p>
            <w:pPr>
              <w:jc w:val="right"/>
              <w:ind w:right="420"/>
              <w:spacing w:after="0"/>
              <w:rPr>
                <w:sz w:val="20"/>
                <w:szCs w:val="20"/>
                <w:color w:val="auto"/>
              </w:rPr>
            </w:pPr>
            <w:r>
              <w:rPr>
                <w:rFonts w:ascii="Arial" w:cs="Arial" w:eastAsia="Arial" w:hAnsi="Arial"/>
                <w:sz w:val="16"/>
                <w:szCs w:val="16"/>
                <w:color w:val="auto"/>
              </w:rPr>
              <w:t>26,801</w:t>
            </w:r>
          </w:p>
        </w:tc>
        <w:tc>
          <w:tcPr>
            <w:tcW w:w="760" w:type="dxa"/>
            <w:vAlign w:val="bottom"/>
          </w:tcPr>
          <w:p>
            <w:pPr>
              <w:spacing w:after="0"/>
              <w:rPr>
                <w:sz w:val="21"/>
                <w:szCs w:val="21"/>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4,104,438</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Proposal 4 – Approval of an Amendment to the Company’s Amended and Restated 2020 Incentive Award Plan.</w:t>
      </w: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Votes FOR</w:t>
            </w:r>
          </w:p>
        </w:tc>
        <w:tc>
          <w:tcPr>
            <w:tcW w:w="2860" w:type="dxa"/>
            <w:vAlign w:val="bottom"/>
            <w:gridSpan w:val="3"/>
          </w:tcPr>
          <w:p>
            <w:pPr>
              <w:jc w:val="center"/>
              <w:ind w:left="59"/>
              <w:spacing w:after="0"/>
              <w:rPr>
                <w:sz w:val="20"/>
                <w:szCs w:val="20"/>
                <w:color w:val="auto"/>
              </w:rPr>
            </w:pPr>
            <w:r>
              <w:rPr>
                <w:rFonts w:ascii="Arial" w:cs="Arial" w:eastAsia="Arial" w:hAnsi="Arial"/>
                <w:sz w:val="16"/>
                <w:szCs w:val="16"/>
                <w:color w:val="auto"/>
              </w:rPr>
              <w:t>Votes AGAINST</w:t>
            </w:r>
          </w:p>
        </w:tc>
        <w:tc>
          <w:tcPr>
            <w:tcW w:w="2880" w:type="dxa"/>
            <w:vAlign w:val="bottom"/>
            <w:gridSpan w:val="3"/>
          </w:tcPr>
          <w:p>
            <w:pPr>
              <w:jc w:val="center"/>
              <w:spacing w:after="0"/>
              <w:rPr>
                <w:sz w:val="20"/>
                <w:szCs w:val="20"/>
                <w:color w:val="auto"/>
              </w:rPr>
            </w:pPr>
            <w:r>
              <w:rPr>
                <w:rFonts w:ascii="Arial" w:cs="Arial" w:eastAsia="Arial" w:hAnsi="Arial"/>
                <w:sz w:val="16"/>
                <w:szCs w:val="16"/>
                <w:color w:val="auto"/>
                <w:w w:val="99"/>
              </w:rPr>
              <w:t>Votes ABSTAINED</w:t>
            </w:r>
          </w:p>
        </w:tc>
        <w:tc>
          <w:tcPr>
            <w:tcW w:w="2020" w:type="dxa"/>
            <w:vAlign w:val="bottom"/>
            <w:gridSpan w:val="2"/>
          </w:tcPr>
          <w:p>
            <w:pPr>
              <w:jc w:val="center"/>
              <w:ind w:left="659"/>
              <w:spacing w:after="0"/>
              <w:rPr>
                <w:sz w:val="20"/>
                <w:szCs w:val="20"/>
                <w:color w:val="auto"/>
              </w:rPr>
            </w:pPr>
            <w:r>
              <w:rPr>
                <w:rFonts w:ascii="Arial" w:cs="Arial" w:eastAsia="Arial" w:hAnsi="Arial"/>
                <w:sz w:val="16"/>
                <w:szCs w:val="16"/>
                <w:color w:val="auto"/>
              </w:rPr>
              <w:t>Broker Non-Votes</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8"/>
        </w:trPr>
        <w:tc>
          <w:tcPr>
            <w:tcW w:w="1720" w:type="dxa"/>
            <w:vAlign w:val="bottom"/>
            <w:gridSpan w:val="3"/>
          </w:tcPr>
          <w:p>
            <w:pPr>
              <w:spacing w:after="0"/>
              <w:rPr>
                <w:sz w:val="20"/>
                <w:szCs w:val="20"/>
                <w:color w:val="auto"/>
              </w:rPr>
            </w:pPr>
            <w:r>
              <w:rPr>
                <w:rFonts w:ascii="Arial" w:cs="Arial" w:eastAsia="Arial" w:hAnsi="Arial"/>
                <w:sz w:val="16"/>
                <w:szCs w:val="16"/>
                <w:color w:val="auto"/>
              </w:rPr>
              <w:t>16,755,619</w:t>
            </w: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1,287,341</w:t>
            </w:r>
          </w:p>
        </w:tc>
        <w:tc>
          <w:tcPr>
            <w:tcW w:w="780" w:type="dxa"/>
            <w:vAlign w:val="bottom"/>
          </w:tcPr>
          <w:p>
            <w:pPr>
              <w:spacing w:after="0"/>
              <w:rPr>
                <w:sz w:val="21"/>
                <w:szCs w:val="21"/>
                <w:color w:val="auto"/>
              </w:rPr>
            </w:pPr>
          </w:p>
        </w:tc>
        <w:tc>
          <w:tcPr>
            <w:tcW w:w="2120" w:type="dxa"/>
            <w:vAlign w:val="bottom"/>
            <w:gridSpan w:val="2"/>
          </w:tcPr>
          <w:p>
            <w:pPr>
              <w:jc w:val="right"/>
              <w:ind w:right="460"/>
              <w:spacing w:after="0"/>
              <w:rPr>
                <w:sz w:val="20"/>
                <w:szCs w:val="20"/>
                <w:color w:val="auto"/>
              </w:rPr>
            </w:pPr>
            <w:r>
              <w:rPr>
                <w:rFonts w:ascii="Arial" w:cs="Arial" w:eastAsia="Arial" w:hAnsi="Arial"/>
                <w:sz w:val="16"/>
                <w:szCs w:val="16"/>
                <w:color w:val="auto"/>
              </w:rPr>
              <w:t>2,361</w:t>
            </w:r>
          </w:p>
        </w:tc>
        <w:tc>
          <w:tcPr>
            <w:tcW w:w="760" w:type="dxa"/>
            <w:vAlign w:val="bottom"/>
          </w:tcPr>
          <w:p>
            <w:pPr>
              <w:spacing w:after="0"/>
              <w:rPr>
                <w:sz w:val="21"/>
                <w:szCs w:val="21"/>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4,104,438</w:t>
            </w:r>
          </w:p>
        </w:tc>
      </w:tr>
    </w:tbl>
    <w:p>
      <w:pPr>
        <w:spacing w:after="0" w:line="325"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Based on the foregoing voting results, Brandon M. Cruz, Alan Wheatley, and Abhiraj R. Modi were elected as Class II directors and Proposals 2, 3, and 4 were approved.</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June 20, 2025</w:t>
      </w:r>
      <w:r>
        <w:rPr>
          <w:sz w:val="20"/>
          <w:szCs w:val="20"/>
          <w:color w:val="auto"/>
        </w:rPr>
        <w:tab/>
      </w:r>
      <w:r>
        <w:rPr>
          <w:rFonts w:ascii="Arial" w:cs="Arial" w:eastAsia="Arial" w:hAnsi="Arial"/>
          <w:sz w:val="16"/>
          <w:szCs w:val="16"/>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Bradley M. Burd</w:t>
      </w: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2025-06-20T12:46:01Z</dcterms:created>
  <dcterms:modified xsi:type="dcterms:W3CDTF">2025-06-20T12:46:01Z</dcterms:modified>
</cp:coreProperties>
</file>