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December 16, 2025</w:t>
      </w:r>
    </w:p>
    <w:p>
      <w:pPr>
        <w:spacing w:after="0" w:line="29" w:lineRule="exact"/>
        <w:rPr>
          <w:sz w:val="24"/>
          <w:szCs w:val="24"/>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1985010</wp:posOffset>
            </wp:positionH>
            <wp:positionV relativeFrom="paragraph">
              <wp:posOffset>253365</wp:posOffset>
            </wp:positionV>
            <wp:extent cx="31718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3"/>
          <w:szCs w:val="23"/>
          <w:b w:val="1"/>
          <w:bCs w:val="1"/>
          <w:color w:val="auto"/>
        </w:rPr>
        <w:t>UNDER</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3"/>
          <w:szCs w:val="2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1985010</wp:posOffset>
            </wp:positionH>
            <wp:positionV relativeFrom="paragraph">
              <wp:posOffset>264160</wp:posOffset>
            </wp:positionV>
            <wp:extent cx="31718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GoHealth, Inc.</w:t>
      </w:r>
    </w:p>
    <w:p>
      <w:pPr>
        <w:spacing w:after="0" w:line="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1985010</wp:posOffset>
            </wp:positionH>
            <wp:positionV relativeFrom="paragraph">
              <wp:posOffset>262255</wp:posOffset>
            </wp:positionV>
            <wp:extent cx="3171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tbl>
      <w:tblPr>
        <w:tblLayout w:type="fixed"/>
        <w:tblInd w:w="3200" w:type="dxa"/>
        <w:tblCellMar>
          <w:top w:w="0" w:type="dxa"/>
          <w:left w:w="0" w:type="dxa"/>
          <w:bottom w:w="0" w:type="dxa"/>
          <w:right w:w="0" w:type="dxa"/>
        </w:tblCellMar>
      </w:tblPr>
      <w:tr>
        <w:trPr>
          <w:trHeight w:val="190"/>
        </w:trPr>
        <w:tc>
          <w:tcPr>
            <w:tcW w:w="2520" w:type="dxa"/>
            <w:vAlign w:val="bottom"/>
          </w:tcPr>
          <w:p>
            <w:pPr>
              <w:jc w:val="center"/>
              <w:ind w:right="831"/>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140" w:type="dxa"/>
            <w:vAlign w:val="bottom"/>
          </w:tcPr>
          <w:p>
            <w:pPr>
              <w:jc w:val="center"/>
              <w:ind w:left="811"/>
              <w:spacing w:after="0"/>
              <w:rPr>
                <w:sz w:val="20"/>
                <w:szCs w:val="20"/>
                <w:color w:val="auto"/>
              </w:rPr>
            </w:pPr>
            <w:r>
              <w:rPr>
                <w:rFonts w:ascii="Times New Roman" w:cs="Times New Roman" w:eastAsia="Times New Roman" w:hAnsi="Times New Roman"/>
                <w:sz w:val="14"/>
                <w:szCs w:val="14"/>
                <w:b w:val="1"/>
                <w:bCs w:val="1"/>
                <w:color w:val="auto"/>
              </w:rPr>
              <w:t>85-0563805</w:t>
            </w:r>
          </w:p>
        </w:tc>
      </w:tr>
      <w:tr>
        <w:trPr>
          <w:trHeight w:val="200"/>
        </w:trPr>
        <w:tc>
          <w:tcPr>
            <w:tcW w:w="2520" w:type="dxa"/>
            <w:vAlign w:val="bottom"/>
          </w:tcPr>
          <w:p>
            <w:pPr>
              <w:jc w:val="center"/>
              <w:ind w:right="851"/>
              <w:spacing w:after="0"/>
              <w:rPr>
                <w:sz w:val="20"/>
                <w:szCs w:val="20"/>
                <w:color w:val="auto"/>
              </w:rPr>
            </w:pPr>
            <w:r>
              <w:rPr>
                <w:rFonts w:ascii="Times New Roman" w:cs="Times New Roman" w:eastAsia="Times New Roman" w:hAnsi="Times New Roman"/>
                <w:sz w:val="13"/>
                <w:szCs w:val="13"/>
                <w:color w:val="auto"/>
              </w:rPr>
              <w:t>(State or other jurisdiction of</w:t>
            </w:r>
          </w:p>
        </w:tc>
        <w:tc>
          <w:tcPr>
            <w:tcW w:w="2140" w:type="dxa"/>
            <w:vAlign w:val="bottom"/>
          </w:tcPr>
          <w:p>
            <w:pPr>
              <w:jc w:val="center"/>
              <w:ind w:left="811"/>
              <w:spacing w:after="0"/>
              <w:rPr>
                <w:sz w:val="20"/>
                <w:szCs w:val="20"/>
                <w:color w:val="auto"/>
              </w:rPr>
            </w:pPr>
            <w:r>
              <w:rPr>
                <w:rFonts w:ascii="Times New Roman" w:cs="Times New Roman" w:eastAsia="Times New Roman" w:hAnsi="Times New Roman"/>
                <w:sz w:val="13"/>
                <w:szCs w:val="13"/>
                <w:color w:val="auto"/>
              </w:rPr>
              <w:t>(I.R.S. Employer</w:t>
            </w:r>
          </w:p>
        </w:tc>
      </w:tr>
      <w:tr>
        <w:trPr>
          <w:trHeight w:val="174"/>
        </w:trPr>
        <w:tc>
          <w:tcPr>
            <w:tcW w:w="2520" w:type="dxa"/>
            <w:vAlign w:val="bottom"/>
          </w:tcPr>
          <w:p>
            <w:pPr>
              <w:jc w:val="center"/>
              <w:ind w:right="831"/>
              <w:spacing w:after="0"/>
              <w:rPr>
                <w:sz w:val="20"/>
                <w:szCs w:val="20"/>
                <w:color w:val="auto"/>
              </w:rPr>
            </w:pPr>
            <w:r>
              <w:rPr>
                <w:rFonts w:ascii="Times New Roman" w:cs="Times New Roman" w:eastAsia="Times New Roman" w:hAnsi="Times New Roman"/>
                <w:sz w:val="13"/>
                <w:szCs w:val="13"/>
                <w:color w:val="auto"/>
              </w:rPr>
              <w:t>incorporation or organization)</w:t>
            </w:r>
          </w:p>
        </w:tc>
        <w:tc>
          <w:tcPr>
            <w:tcW w:w="2140" w:type="dxa"/>
            <w:vAlign w:val="bottom"/>
          </w:tcPr>
          <w:p>
            <w:pPr>
              <w:jc w:val="center"/>
              <w:ind w:left="811"/>
              <w:spacing w:after="0"/>
              <w:rPr>
                <w:sz w:val="20"/>
                <w:szCs w:val="20"/>
                <w:color w:val="auto"/>
              </w:rPr>
            </w:pPr>
            <w:r>
              <w:rPr>
                <w:rFonts w:ascii="Times New Roman" w:cs="Times New Roman" w:eastAsia="Times New Roman" w:hAnsi="Times New Roman"/>
                <w:sz w:val="13"/>
                <w:szCs w:val="13"/>
                <w:color w:val="auto"/>
              </w:rPr>
              <w:t>Identification Number)</w:t>
            </w:r>
          </w:p>
        </w:tc>
      </w:tr>
    </w:tbl>
    <w:p>
      <w:pPr>
        <w:spacing w:after="0" w:line="16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222 W Merchandise Mart Plaza, Suite 1750</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Chicago, IL 60654</w:t>
      </w:r>
    </w:p>
    <w:p>
      <w:pPr>
        <w:spacing w:after="0" w:line="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(312) 386-8200</w:t>
      </w:r>
    </w:p>
    <w:p>
      <w:pPr>
        <w:spacing w:after="0" w:line="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1985010</wp:posOffset>
            </wp:positionH>
            <wp:positionV relativeFrom="paragraph">
              <wp:posOffset>247015</wp:posOffset>
            </wp:positionV>
            <wp:extent cx="3171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Bradley Burd</w:t>
      </w:r>
    </w:p>
    <w:p>
      <w:pPr>
        <w:spacing w:after="0" w:line="2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Chief Legal Officer</w:t>
      </w:r>
    </w:p>
    <w:p>
      <w:pPr>
        <w:spacing w:after="0" w:line="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222 W Merchandise Mart Plaza, Suite 1750</w:t>
      </w:r>
    </w:p>
    <w:p>
      <w:pPr>
        <w:spacing w:after="0" w:line="1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Chicago, IL 60654</w:t>
      </w:r>
    </w:p>
    <w:p>
      <w:pPr>
        <w:spacing w:after="0" w:line="15"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(312) 386-8200</w:t>
      </w:r>
    </w:p>
    <w:p>
      <w:pPr>
        <w:spacing w:after="0" w:line="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1985010</wp:posOffset>
            </wp:positionH>
            <wp:positionV relativeFrom="paragraph">
              <wp:posOffset>288925</wp:posOffset>
            </wp:positionV>
            <wp:extent cx="3171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26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Robert M. Hayward, P.C.</w:t>
      </w:r>
    </w:p>
    <w:p>
      <w:pPr>
        <w:spacing w:after="0" w:line="2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Sharon Freiman, P.C.</w:t>
      </w:r>
    </w:p>
    <w:p>
      <w:pPr>
        <w:spacing w:after="0" w:line="15"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Katherine Shaia</w:t>
      </w:r>
    </w:p>
    <w:p>
      <w:pPr>
        <w:spacing w:after="0" w:line="4"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Kirkland &amp; Ellis LLP</w:t>
      </w:r>
    </w:p>
    <w:p>
      <w:pPr>
        <w:spacing w:after="0" w:line="1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333 West Wolf Point Plaza</w:t>
      </w:r>
    </w:p>
    <w:p>
      <w:pPr>
        <w:spacing w:after="0" w:line="15"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Chicago, IL 60654</w:t>
      </w:r>
    </w:p>
    <w:p>
      <w:pPr>
        <w:spacing w:after="0" w:line="15"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(312) 862-2000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1985010</wp:posOffset>
            </wp:positionH>
            <wp:positionV relativeFrom="paragraph">
              <wp:posOffset>247015</wp:posOffset>
            </wp:positionV>
            <wp:extent cx="3171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53" w:lineRule="exact"/>
        <w:rPr>
          <w:sz w:val="24"/>
          <w:szCs w:val="24"/>
          <w:color w:val="auto"/>
        </w:rPr>
      </w:pPr>
    </w:p>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00" w:lineRule="exact"/>
        <w:rPr>
          <w:sz w:val="24"/>
          <w:szCs w:val="24"/>
          <w:color w:val="auto"/>
        </w:rPr>
      </w:pPr>
    </w:p>
    <w:p>
      <w:pPr>
        <w:ind w:firstLine="441"/>
        <w:spacing w:after="0" w:line="200"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ectPr>
          <w:pgSz w:w="11900" w:h="16838" w:orient="portrait"/>
          <w:cols w:equalWidth="0" w:num="1">
            <w:col w:w="11180"/>
          </w:cols>
          <w:pgMar w:left="320" w:top="1195" w:right="399" w:bottom="1440" w:gutter="0" w:footer="0" w:header="0"/>
        </w:sectPr>
      </w:pPr>
    </w:p>
    <w:bookmarkStart w:id="1" w:name="page2"/>
    <w:bookmarkEnd w:id="1"/>
    <w:p>
      <w:pPr>
        <w:ind w:right="20" w:firstLine="441"/>
        <w:spacing w:after="0" w:line="200"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0"/>
          <w:szCs w:val="20"/>
          <w:color w:val="auto"/>
        </w:rPr>
      </w:pPr>
    </w:p>
    <w:p>
      <w:pPr>
        <w:ind w:right="40" w:firstLine="441"/>
        <w:spacing w:after="0" w:line="193"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0"/>
          <w:szCs w:val="20"/>
          <w:color w:val="auto"/>
        </w:rPr>
      </w:pPr>
    </w:p>
    <w:p>
      <w:pPr>
        <w:ind w:firstLine="441"/>
        <w:spacing w:after="0" w:line="200"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20" w:lineRule="exact"/>
        <w:rPr>
          <w:sz w:val="20"/>
          <w:szCs w:val="20"/>
          <w:color w:val="auto"/>
        </w:rPr>
      </w:pPr>
    </w:p>
    <w:p>
      <w:pPr>
        <w:ind w:right="300" w:firstLine="441"/>
        <w:spacing w:after="0" w:line="200"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7" w:lineRule="exact"/>
        <w:rPr>
          <w:sz w:val="20"/>
          <w:szCs w:val="20"/>
          <w:color w:val="auto"/>
        </w:rPr>
      </w:pPr>
    </w:p>
    <w:p>
      <w:pPr>
        <w:ind w:right="120" w:firstLine="441"/>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02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rPr>
              <w:t>☐</w:t>
            </w:r>
          </w:p>
        </w:tc>
        <w:tc>
          <w:tcPr>
            <w:tcW w:w="3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Accelerated filer</w:t>
            </w:r>
          </w:p>
        </w:tc>
        <w:tc>
          <w:tcPr>
            <w:tcW w:w="2160" w:type="dxa"/>
            <w:vAlign w:val="bottom"/>
          </w:tcPr>
          <w:p>
            <w:pPr>
              <w:ind w:left="20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1"/>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02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rPr>
              <w:t>☒</w:t>
            </w:r>
          </w:p>
        </w:tc>
        <w:tc>
          <w:tcPr>
            <w:tcW w:w="3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160" w:type="dxa"/>
            <w:vAlign w:val="bottom"/>
          </w:tcPr>
          <w:p>
            <w:pPr>
              <w:ind w:left="20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1"/>
        </w:trPr>
        <w:tc>
          <w:tcPr>
            <w:tcW w:w="2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Emerging growth company</w:t>
            </w:r>
          </w:p>
        </w:tc>
        <w:tc>
          <w:tcPr>
            <w:tcW w:w="2160" w:type="dxa"/>
            <w:vAlign w:val="bottom"/>
          </w:tcPr>
          <w:p>
            <w:pPr>
              <w:ind w:left="20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0" w:lineRule="exact"/>
        <w:rPr>
          <w:sz w:val="20"/>
          <w:szCs w:val="20"/>
          <w:color w:val="auto"/>
        </w:rPr>
      </w:pPr>
    </w:p>
    <w:p>
      <w:pPr>
        <w:ind w:right="48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153" w:lineRule="exact"/>
        <w:rPr>
          <w:sz w:val="20"/>
          <w:szCs w:val="20"/>
          <w:color w:val="auto"/>
        </w:rPr>
      </w:pPr>
    </w:p>
    <w:p>
      <w:pPr>
        <w:ind w:left="80" w:right="340"/>
        <w:spacing w:after="0" w:line="26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143" w:right="419" w:bottom="1440" w:gutter="0" w:footer="0" w:header="0"/>
        </w:sectPr>
      </w:pPr>
    </w:p>
    <w:bookmarkStart w:id="2" w:name="page3"/>
    <w:bookmarkEnd w:id="2"/>
    <w:p>
      <w:pPr>
        <w:ind w:right="120"/>
        <w:spacing w:after="0" w:line="265"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 selling stockholder may not sell these securities until the registration statement filed with the Securities and Exchange Commission becomes effective. This preliminary prospectus is not an offer to sell these securities, and it is not a solicitation of an offer to buy these securities in any state where the offer or sale is not permitted.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F4338"/>
        </w:rPr>
        <w:t>SUBJECT TO COMPLETION, DATED DECEMBER 16,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156845</wp:posOffset>
            </wp:positionV>
            <wp:extent cx="237426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742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43"/>
          <w:szCs w:val="43"/>
          <w:b w:val="1"/>
          <w:bCs w:val="1"/>
          <w:color w:val="auto"/>
        </w:rPr>
        <w:t>GoHealth, Inc.</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9,566,028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stockholder identified in this prospectus (the “Selling Stockholder”) of up to 9,566,028 shares of Class A common stock, par value $0.0001 per share (the “Class A common stock”), of GoHealth, Inc. (“GoHealth,” the “Company,” “we,” “us” or “our”).</w:t>
      </w:r>
    </w:p>
    <w:p>
      <w:pPr>
        <w:spacing w:after="0" w:line="176" w:lineRule="exact"/>
        <w:rPr>
          <w:sz w:val="20"/>
          <w:szCs w:val="20"/>
          <w:color w:val="auto"/>
        </w:rPr>
      </w:pPr>
    </w:p>
    <w:p>
      <w:pPr>
        <w:ind w:right="400" w:firstLine="441"/>
        <w:spacing w:after="0" w:line="261" w:lineRule="auto"/>
        <w:rPr>
          <w:sz w:val="20"/>
          <w:szCs w:val="20"/>
          <w:color w:val="auto"/>
        </w:rPr>
      </w:pPr>
      <w:r>
        <w:rPr>
          <w:rFonts w:ascii="Times New Roman" w:cs="Times New Roman" w:eastAsia="Times New Roman" w:hAnsi="Times New Roman"/>
          <w:sz w:val="18"/>
          <w:szCs w:val="18"/>
          <w:color w:val="auto"/>
        </w:rPr>
        <w:t>The Selling Stockholder may from time to time offer and sell shares of Class A common stock covered by this prospectus through underwriters, broker-dealers or agents, or directly to purchasers. The shares of Class A common stock may be sold in one or more transactions at fixed prices, at prevailing market prices at the time of the sale, at varying prices determined at the time of sale, or at negotiated prices, or through any other means described under “Plan of Distribution.”</w:t>
      </w:r>
    </w:p>
    <w:p>
      <w:pPr>
        <w:spacing w:after="0" w:line="180"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manner in which shares of Class A common stock may be offered and sold by the Selling Stockholder. When the Selling Stockholder offers and sells shares of Class A common stock under this prospectus, we may, to the extent required by law, provide a prospectus supplement that will contain specific information about the terms of that offering. Any prospectus supplement may also add to, update, modify or replace information contained in this prospectus. We urge you to read carefully this prospectus, any accompanying prospectus supplement and any documents we incorporate by reference into this prospectus and any accompanying prospectus supplement before you make your investment decision.</w:t>
      </w:r>
    </w:p>
    <w:p>
      <w:pPr>
        <w:spacing w:after="0" w:line="183"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Our registration of the Class A common stock covered by this prospectus does not mean that the Selling Stockholder will offer or sell any shares of Class A common stock.</w:t>
      </w:r>
    </w:p>
    <w:p>
      <w:pPr>
        <w:spacing w:after="0" w:line="162"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We are not selling any shares of Class A common stock under this prospectus and we will not receive any proceeds from the sale of shares of Class A common stock by the Selling Stockholder pursuant to this prospectus. We have agreed to pay certain expenses incurred in connection with the registration of the shares of Class A common stock covered by this prospectus. The Selling Stockholder will be responsible for any underwriting discounts and selling commissions.</w:t>
      </w:r>
    </w:p>
    <w:p>
      <w:pPr>
        <w:spacing w:after="0" w:line="180"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(“Nasdaq”) under the symbol “GOCO.” On December 15 , 2025, the last reported sale price of the Class A common stock was $2.88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Class A common stock involves risks. See “Risk Factors” beginning on page 6 of this prospectus and any risk factors described in any applicable prospectus supplement and in the documents</w:t>
      </w:r>
    </w:p>
    <w:p>
      <w:pPr>
        <w:sectPr>
          <w:pgSz w:w="11900" w:h="16838" w:orient="portrait"/>
          <w:cols w:equalWidth="0" w:num="1">
            <w:col w:w="11220"/>
          </w:cols>
          <w:pgMar w:left="320" w:top="1093" w:right="359" w:bottom="1440" w:gutter="0" w:footer="0" w:header="0"/>
        </w:sectPr>
      </w:pPr>
    </w:p>
    <w:bookmarkStart w:id="3" w:name="page4"/>
    <w:bookmarkEnd w:id="3"/>
    <w:p>
      <w:pPr>
        <w:spacing w:after="0" w:line="286" w:lineRule="auto"/>
        <w:rPr>
          <w:sz w:val="20"/>
          <w:szCs w:val="20"/>
          <w:color w:val="auto"/>
        </w:rPr>
      </w:pPr>
      <w:r>
        <w:rPr>
          <w:rFonts w:ascii="Times New Roman" w:cs="Times New Roman" w:eastAsia="Times New Roman" w:hAnsi="Times New Roman"/>
          <w:sz w:val="18"/>
          <w:szCs w:val="18"/>
          <w:b w:val="1"/>
          <w:bCs w:val="1"/>
          <w:color w:val="auto"/>
        </w:rPr>
        <w:t>incorporated by reference in this prospectus and the applicable prospectus supplement for factors you should consider before making the decision to invest in our Class A common stock.</w:t>
      </w:r>
    </w:p>
    <w:p>
      <w:pPr>
        <w:spacing w:after="0" w:line="155" w:lineRule="exact"/>
        <w:rPr>
          <w:sz w:val="20"/>
          <w:szCs w:val="20"/>
          <w:color w:val="auto"/>
        </w:rPr>
      </w:pPr>
    </w:p>
    <w:p>
      <w:pPr>
        <w:ind w:right="3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402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2025</w:t>
            </w:r>
          </w:p>
        </w:tc>
      </w:tr>
    </w:tbl>
    <w:p>
      <w:pPr>
        <w:sectPr>
          <w:pgSz w:w="11900" w:h="16838" w:orient="portrait"/>
          <w:cols w:equalWidth="0" w:num="1">
            <w:col w:w="11180"/>
          </w:cols>
          <w:pgMar w:left="320" w:top="1089" w:right="399" w:bottom="1440" w:gutter="0" w:footer="0" w:header="0"/>
        </w:sectPr>
      </w:pPr>
    </w:p>
    <w:bookmarkStart w:id="4" w:name="page5"/>
    <w:bookmarkEnd w:id="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00" w:type="dxa"/>
            <w:vAlign w:val="bottom"/>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72"/>
        </w:trPr>
        <w:tc>
          <w:tcPr>
            <w:tcW w:w="1090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090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109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109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109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10900" w:type="dxa"/>
            <w:vAlign w:val="bottom"/>
          </w:tcPr>
          <w:p>
            <w:pPr>
              <w:spacing w:after="0"/>
              <w:rPr>
                <w:sz w:val="20"/>
                <w:szCs w:val="20"/>
                <w:color w:val="auto"/>
              </w:rPr>
            </w:pPr>
            <w:r>
              <w:rPr>
                <w:rFonts w:ascii="Times New Roman" w:cs="Times New Roman" w:eastAsia="Times New Roman" w:hAnsi="Times New Roman"/>
                <w:sz w:val="18"/>
                <w:szCs w:val="18"/>
                <w:color w:val="auto"/>
              </w:rPr>
              <w:t>SELLING STOCKHOLDER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1090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1090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109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1090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ADDITIONAL INFORMATION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200"/>
          </w:cols>
          <w:pgMar w:left="340" w:top="1440" w:right="35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right="420" w:firstLine="441"/>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process, the Selling Stockholder may, from time to time, offer and sell the shares of Class A common stock described in this prospectus in one or more offerings.</w:t>
      </w:r>
    </w:p>
    <w:p>
      <w:pPr>
        <w:spacing w:after="0" w:line="176"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Neither we nor the Selling Stockholder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 take responsibility for, and can provide no assurance as to the reliability of, any other information that others may give you.</w:t>
      </w:r>
    </w:p>
    <w:p>
      <w:pPr>
        <w:spacing w:after="0" w:line="18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this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Additional Information.” You should assume that the information in this prospectus and, if applicable, any prospectus supplement is accurate only as of the date on its respective cover and that any information we have incorporated by reference is accurate only as of the date of the document incorporated by reference, regardless of the time of delivery of this prospectus and, if applicable, any prospectus supplement or of any sale of our Class A common stock.</w:t>
      </w:r>
    </w:p>
    <w:p>
      <w:pPr>
        <w:spacing w:after="0" w:line="187"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do not constitute an offer to sell or the solicitation of an offer to buy any securities in any jurisdiction to any person to whom it is unlawful to make such offer or solicitation.</w:t>
      </w:r>
    </w:p>
    <w:p>
      <w:pPr>
        <w:spacing w:after="0" w:line="162"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to “GoHealth,” the “Company,” “we,” “us” or “our” refer to GoHealth,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80"/>
          </w:cols>
          <w:pgMar w:left="320" w:top="1413"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we can disclose important information to you by referring you to those documents. The following documents (other than any portions of such documents, including any exhibits, that are deemed to have been furnished and not filed with the SEC) are incorporated by reference into this prospectus:</w:t>
      </w:r>
    </w:p>
    <w:p>
      <w:pPr>
        <w:spacing w:after="0" w:line="162"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2024 filed with the SEC on </w:t>
      </w:r>
      <w:hyperlink r:id="rId22">
        <w:r>
          <w:rPr>
            <w:rFonts w:ascii="Times New Roman" w:cs="Times New Roman" w:eastAsia="Times New Roman" w:hAnsi="Times New Roman"/>
            <w:sz w:val="18"/>
            <w:szCs w:val="18"/>
            <w:u w:val="single" w:color="auto"/>
            <w:color w:val="0000FF"/>
          </w:rPr>
          <w:t>February 27, 2025</w:t>
        </w:r>
      </w:hyperlink>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980" w:right="260" w:hanging="324"/>
        <w:spacing w:after="0" w:line="250" w:lineRule="auto"/>
        <w:tabs>
          <w:tab w:leader="none" w:pos="9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March 31, 2025, June 30, 2025 and September 30, 2025 filed with the SEC on </w:t>
      </w:r>
      <w:hyperlink r:id="rId23">
        <w:r>
          <w:rPr>
            <w:rFonts w:ascii="Times New Roman" w:cs="Times New Roman" w:eastAsia="Times New Roman" w:hAnsi="Times New Roman"/>
            <w:sz w:val="18"/>
            <w:szCs w:val="18"/>
            <w:u w:val="single" w:color="auto"/>
            <w:color w:val="0000FF"/>
          </w:rPr>
          <w:t>May 16, 2025</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FF"/>
          </w:rPr>
          <w:t>August 12,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5">
        <w:r>
          <w:rPr>
            <w:rFonts w:ascii="Times New Roman" w:cs="Times New Roman" w:eastAsia="Times New Roman" w:hAnsi="Times New Roman"/>
            <w:sz w:val="18"/>
            <w:szCs w:val="18"/>
            <w:u w:val="single" w:color="auto"/>
            <w:color w:val="0000FF"/>
          </w:rPr>
          <w:t>November 14, 2025</w:t>
        </w:r>
      </w:hyperlink>
      <w:r>
        <w:rPr>
          <w:rFonts w:ascii="Times New Roman" w:cs="Times New Roman" w:eastAsia="Times New Roman" w:hAnsi="Times New Roman"/>
          <w:sz w:val="18"/>
          <w:szCs w:val="18"/>
          <w:color w:val="auto"/>
        </w:rPr>
        <w:t>, respectively;</w:t>
      </w:r>
    </w:p>
    <w:p>
      <w:pPr>
        <w:spacing w:after="0" w:line="149" w:lineRule="exact"/>
        <w:rPr>
          <w:rFonts w:ascii="Times New Roman" w:cs="Times New Roman" w:eastAsia="Times New Roman" w:hAnsi="Times New Roman"/>
          <w:sz w:val="18"/>
          <w:szCs w:val="18"/>
          <w:color w:val="auto"/>
        </w:rPr>
      </w:pPr>
    </w:p>
    <w:p>
      <w:pPr>
        <w:ind w:left="980" w:right="140" w:hanging="324"/>
        <w:spacing w:after="0" w:line="237" w:lineRule="auto"/>
        <w:tabs>
          <w:tab w:leader="none" w:pos="975" w:val="left"/>
        </w:tabs>
        <w:numPr>
          <w:ilvl w:val="0"/>
          <w:numId w:val="1"/>
        </w:numPr>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auto"/>
          </w:rPr>
          <w:t xml:space="preserve">our Current Reports on Form 8-K filed with the SEC on each of </w:t>
        </w:r>
        <w:r>
          <w:rPr>
            <w:rFonts w:ascii="Times New Roman" w:cs="Times New Roman" w:eastAsia="Times New Roman" w:hAnsi="Times New Roman"/>
            <w:sz w:val="18"/>
            <w:szCs w:val="18"/>
            <w:u w:val="single" w:color="auto"/>
            <w:color w:val="0000FF"/>
          </w:rPr>
          <w:t>April 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June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June 30,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August 7, 2025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August 19,</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and</w:t>
        </w:r>
      </w:hyperlink>
    </w:p>
    <w:p>
      <w:pPr>
        <w:spacing w:after="0" w:line="171" w:lineRule="exact"/>
        <w:rPr>
          <w:rFonts w:ascii="Times New Roman" w:cs="Times New Roman" w:eastAsia="Times New Roman" w:hAnsi="Times New Roman"/>
          <w:sz w:val="18"/>
          <w:szCs w:val="18"/>
          <w:color w:val="0000FF"/>
        </w:rPr>
      </w:pPr>
    </w:p>
    <w:p>
      <w:pPr>
        <w:ind w:left="980" w:hanging="324"/>
        <w:spacing w:after="0" w:line="237" w:lineRule="auto"/>
        <w:tabs>
          <w:tab w:leader="none" w:pos="9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Exhibit 4.2 to our Annual Report on Form 10-K filed with the SEC on </w:t>
      </w:r>
      <w:hyperlink r:id="rId27">
        <w:r>
          <w:rPr>
            <w:rFonts w:ascii="Times New Roman" w:cs="Times New Roman" w:eastAsia="Times New Roman" w:hAnsi="Times New Roman"/>
            <w:sz w:val="18"/>
            <w:szCs w:val="18"/>
            <w:u w:val="single" w:color="auto"/>
            <w:color w:val="0000FF"/>
          </w:rPr>
          <w:t>March 16, 2021</w:t>
        </w:r>
      </w:hyperlink>
      <w:r>
        <w:rPr>
          <w:rFonts w:ascii="Times New Roman" w:cs="Times New Roman" w:eastAsia="Times New Roman" w:hAnsi="Times New Roman"/>
          <w:sz w:val="18"/>
          <w:szCs w:val="18"/>
          <w:color w:val="auto"/>
        </w:rPr>
        <w:t>, including any amendment or report filed for the purpose of updating such description.</w:t>
      </w:r>
    </w:p>
    <w:p>
      <w:pPr>
        <w:spacing w:after="0" w:line="172" w:lineRule="exact"/>
        <w:rPr>
          <w:rFonts w:ascii="Times New Roman" w:cs="Times New Roman" w:eastAsia="Times New Roman" w:hAnsi="Times New Roman"/>
          <w:sz w:val="18"/>
          <w:szCs w:val="18"/>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we incorporate by reference into this prospectus all documents that we file under Section 13(a), 13(c), 14 or 15(d) of the Securities Exchange Act of 1934, as amended (the “Exchange Act”), other than any documents or portions of documents that are deemed to have been furnished and not filed with the SEC, after the date of this prospectus and prior to the termination of any offering contemplated by this prospectus.</w:t>
      </w:r>
    </w:p>
    <w:p>
      <w:pPr>
        <w:spacing w:after="0" w:line="176" w:lineRule="exact"/>
        <w:rPr>
          <w:rFonts w:ascii="Times New Roman" w:cs="Times New Roman" w:eastAsia="Times New Roman" w:hAnsi="Times New Roman"/>
          <w:sz w:val="18"/>
          <w:szCs w:val="18"/>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herein shall be deemed to be modified or superseded, for purposes of this prospectus, to the extent that a statement contained herein or in any other subsequently filed or furnished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Any statement so modified or superseded shall not be deemed, except as so modified or superseded, to constitute a part of this prospectus.</w:t>
      </w:r>
    </w:p>
    <w:p>
      <w:pPr>
        <w:spacing w:after="0" w:line="183" w:lineRule="exact"/>
        <w:rPr>
          <w:rFonts w:ascii="Times New Roman" w:cs="Times New Roman" w:eastAsia="Times New Roman" w:hAnsi="Times New Roman"/>
          <w:sz w:val="18"/>
          <w:szCs w:val="18"/>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Copies of the documents incorporated herein by reference may be obtained without charge upon request directed to GoHealth, Inc., 222 W Merchandise Mart Plaza, Suite 1750, Chicago, IL 60654, telephone number (312) 386-8200.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80" w:firstLine="648"/>
        <w:spacing w:after="0" w:line="273" w:lineRule="auto"/>
        <w:rPr>
          <w:sz w:val="20"/>
          <w:szCs w:val="20"/>
          <w:color w:val="auto"/>
        </w:rPr>
      </w:pPr>
      <w:r>
        <w:rPr>
          <w:rFonts w:ascii="Times New Roman" w:cs="Times New Roman" w:eastAsia="Times New Roman" w:hAnsi="Times New Roman"/>
          <w:sz w:val="17"/>
          <w:szCs w:val="17"/>
          <w:color w:val="auto"/>
        </w:rPr>
        <w:t>This prospectus contains forward-looking statements within the meaning of Section 27A of the Securities Act of 1933, as amended, (the “Securities Act”), and Section 21E of the Exchange Act. These forward-looking statements are made in reliance upon the safe harbor provision of the Private Securities Litigation Reform Act of 1995.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debt service obligations, adoption and use of artificial intelligence technologies, the impact on our business from the acquisition of e-TeleQuote Insurance, Inc. (“e-TeleQuote”) and our ability to successfully integrate e-TeleQuote’s operations, technologies and employees into our business, are forward-looking statements.</w:t>
      </w:r>
    </w:p>
    <w:p>
      <w:pPr>
        <w:spacing w:after="0" w:line="17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prospectus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prospectus and are subject to a number of important factors that could cause actual results to differ materially from those in the forward-looking statements, including:</w:t>
      </w:r>
    </w:p>
    <w:p>
      <w:pPr>
        <w:spacing w:after="0" w:line="148"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an adverse change in our relationships with health plan partners, including a loss of health plan partner relationships;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plan partners’ ability to reduce commissions paid to us and adversely change their underwriting practices;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small group of health plan partners for a substantial portion of our revenue;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numerous, complex and frequently changing laws regulating the marketing and sale of Medicare plans;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health insurance system and laws and regulation governing health insurance markets;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adversely impact our estimate of Lifetime Value of Commissions;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data provided to us by health plan partners;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expansion of the Encompass operating model;</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benefits from our strategic cash flow optimization and other cash management initiatives;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employees;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licensed health insurance agents to sell Medicare-related health insurance plans;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in our business from acquisitions of other businesses or technologies;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systems failures and 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13" w:right="379" w:bottom="1440" w:gutter="0" w:footer="0" w:header="0"/>
        </w:sectPr>
      </w:pPr>
    </w:p>
    <w:bookmarkStart w:id="8" w:name="page9"/>
    <w:bookmarkEnd w:id="8"/>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grow our customer base or retain our existing customers;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general economic conditions, including inflation, interest rates, and other commodity prices and exchange rates;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additional capital to operate and grow our business;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position and ability to service our indebtedness;</w:t>
      </w:r>
    </w:p>
    <w:p>
      <w:pPr>
        <w:spacing w:after="0" w:line="198" w:lineRule="exact"/>
        <w:rPr>
          <w:rFonts w:ascii="Times New Roman" w:cs="Times New Roman" w:eastAsia="Times New Roman" w:hAnsi="Times New Roman"/>
          <w:sz w:val="18"/>
          <w:szCs w:val="18"/>
          <w:color w:val="auto"/>
        </w:rPr>
      </w:pPr>
    </w:p>
    <w:p>
      <w:pPr>
        <w:ind w:left="980" w:right="160" w:hanging="324"/>
        <w:spacing w:after="0" w:line="237"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sales of a substantial number of shares of Class A common stock in the public market or the perception that such sales may occur;</w:t>
      </w:r>
    </w:p>
    <w:p>
      <w:pPr>
        <w:spacing w:after="0" w:line="158" w:lineRule="exact"/>
        <w:rPr>
          <w:rFonts w:ascii="Times New Roman" w:cs="Times New Roman" w:eastAsia="Times New Roman" w:hAnsi="Times New Roman"/>
          <w:sz w:val="18"/>
          <w:szCs w:val="18"/>
          <w:color w:val="auto"/>
        </w:rPr>
      </w:pPr>
    </w:p>
    <w:p>
      <w:pPr>
        <w:ind w:left="980" w:right="6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influence that our founders and principal stockholders have over us, including control over decisions that require the approval of stockholders; and</w:t>
      </w:r>
    </w:p>
    <w:p>
      <w:pPr>
        <w:spacing w:after="0" w:line="1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factors discussed in this prospectus or the applicable prospectus supplement.</w:t>
      </w:r>
    </w:p>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60"/>
          </w:cols>
          <w:pgMar w:left="320" w:top="1404" w:right="419" w:bottom="1440" w:gutter="0" w:footer="0" w:header="0"/>
        </w:sectPr>
      </w:pPr>
    </w:p>
    <w:bookmarkStart w:id="9" w:name="page10"/>
    <w:bookmarkEnd w:id="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GoHealth is a leading health insurance marketplace and Medicare-focused digital health company whose purpose is to compassionately ensure consumers’ peace of mind when making healthcare decisions so they can focus on living life. With a widely scalable end-to-end platform and substantial presence in the Medicare landscape, we believe we are uniquely positioned as a trusted partner to the approximately 66 million Medicare-eligible Americans as of September 30, 2025, as well as the approximately 11,000 Americans becoming eligible each day, as they navigate one of life's most important purchasing decisions. For many of these consumers, enrolling in a health insurance plan is confusing and difficult. Seemingly small differences between health plans may lead to significant out-of-pocket costs or lack of access to critical providers and medicines. We aim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 We partner with health plans that provide access to high quality health plans across all 50 states and the District of Columbia as of September 30,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GoHealth, Inc. is a Delaware corporation. Our principal executive offices are located at 222 W Merchandise Mart Plaza, Suite 1750, Chicago, IL 60654, and our telephone number is (312) 386-8200. Our principal website address is www.gohealth.com. Information contained in, or accessible through, our website is not a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40"/>
          </w:cols>
          <w:pgMar w:left="320" w:top="1413" w:right="4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risks. You should consider carefully the risks and uncertainties described in our Annual Report on Form 10-K for the most recently completed fiscal year and subsequent Quarterly Reports on Form 10-Q, together with all of the other information included in or incorporated by reference into this prospectus and the applicable prospectus supplement before deciding whether to purchase any shares of our Class A common stock. You should be aware that it is not possible to predict or identify all of the risks to our business and financial condition and that the risk factors described in our Annual Report on Form 10-K, Quarterly Reports on Form 10-Q and other information included in or incorporated by reference into this prospectus and the applicable prospectus supplement are not meant to be a complete discussion of all potential risks or uncertainties. We may face additional risks and uncertainties that are not presently known to us or that we currently deem immaterial, which may also impair our business or financial condition. In such event, the market price of our Class A common stock could decline, and you could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3" w:right="339" w:bottom="1440" w:gutter="0" w:footer="0" w:header="0"/>
        </w:sectPr>
      </w:pPr>
    </w:p>
    <w:bookmarkStart w:id="11" w:name="page12"/>
    <w:bookmarkEnd w:id="11"/>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will not receive any proceeds from the resale of any shares of Class A common stock offered by this prospectus by the Selling Stockholder.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 will receive all of the proceeds from any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960"/>
          </w:cols>
          <w:pgMar w:left="320" w:top="1413" w:right="61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the material terms of our amended and restated certificate of incorporation and amended and restated bylaws. The following description may not contain all of the information that is important to you. To understand the material terms of our Class A common stock, you should read our amended and restated certificate of incorporation and amended and restated bylaws, copies of which have been filed with the SEC as exhibits to the registration statement, of which this prospectus is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capital stock consisting of:</w:t>
      </w:r>
    </w:p>
    <w:p>
      <w:pPr>
        <w:spacing w:after="0" w:line="212"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1,100,000,000 shares of Class A common stock, par value $0.0001 per share;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690,000,000 shares of Class B common stock, par value $0.0001 per share; and</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preferred stock, par value $0.0001 per share.</w:t>
      </w:r>
    </w:p>
    <w:p>
      <w:pPr>
        <w:spacing w:after="0" w:line="19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As of December 11, 2025, we had 16,093,116, 12,620,884 and 50,000 shares of Class A common stock, Class B common stock and Series A convertible preferred stock issued and outstanding, respectively.</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summary describes the material provisions of our capital stock. We urge you to read the below in conjunction with our amended and restated certificate of incorporation and our amended and restated bylaws.</w:t>
      </w:r>
    </w:p>
    <w:p>
      <w:pPr>
        <w:spacing w:after="0" w:line="16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Common Stock</w:t>
      </w:r>
    </w:p>
    <w:p>
      <w:pPr>
        <w:spacing w:after="0" w:line="227"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one vote for each share held of record on all matters submitted to a vote of stockholders.</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receive dividends when and if declared by our board of directors (the “Board”) out of funds legally available therefor, subject to any statutory or contractual restrictions on the payment of dividends and to any restrictions on the payment of dividends imposed by the terms of any outstanding preferred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our dissolution or liquidation, after payment in full of all amounts required to be paid to creditors and to the holders of preferred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having liquidation preferences, if any, the holders of shares of our Class A common stock and Class B common stock are entitled to receive ratable portions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remaining assets available for distribution; provided, that the holders of shares of Class B common stock shall not be entitled to receive more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of Class B common stock and upon receiving such amount, shall not be entitled to receive any of our other assets or funds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shares of Class B common stock.</w:t>
      </w:r>
    </w:p>
    <w:p>
      <w:pPr>
        <w:spacing w:after="0" w:line="20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Holders of shares of our Class A common stock do not have preemptive, subscription, redemption, or conversion rights with respect to such share of Class A common stock. There are no redemption or sinking fund provisions applicable to the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Class B Common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share of our Class B common stock entitles its holders to one vote per share on all matters presented to our stockholders generally.</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Shares of Class B common stock are issued only to the extent necessary to maintain a one-to-one ratio between the number of LLC Interests held by the Continuing Equity Owners and the number of shares of Class B common stock issued to the Continuing Equity Owners. Shares of Class B common stock are transferable only together with an equal number of LLC Interests. Only permitted transferees of LLC Interests held by the Continuing Equity Owners are permitted transferees of Class B common stock.</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Holders of shares of our Class B common stock vote together with holders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Holders of our Class B common stock do not have any right to receive dividends or to receive a distribution upon dissolution or liquidation other than the right to receive $0.0001 per share of Class B common stock. Additionally, holders of shares of our Class B common stock do not have preemptive, subscription, redemption, or conversion rights with respect to such shares of Class B common stock. There are no redemption or sinking fund provisions applicable to the Class B common stock. Any amendment of our amended and restated certificate of incorporation that gives holders of our Class B common stock (1) any rights to receive dividends or any other kind of distribution other than in connection with a dissolution or liquidation, (2) any right to convert into or be exchanged for Class A common stock or (3) any other economic rights will require, in addition to stockholder approval, the affirmative vote of holders of our Class A common stock voting separately as a class.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of our authorized shares of preferred stock is 20,000,000 shares.</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Board is authorized to direct us to issue shares of preferred stock in one or more series without stockholder approval. The Board has the discretion to determine the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purpose of authorizing the Board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Convertible Perpetual Preferred Stock</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On September 23, 2022, we issued 50,000 shares of Series A Convertible Perpetual Preferred Stock, par value $0.0001 per share (the “Series A convertible preferred stock”), for an aggregate purchase price of $50.0 million, at $1,000 per share of the Series A convertible preferred stock.</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Series A convertible preferred stock ranks senior to the shares of Class A common stock and Class B common stock with respect to dividend rights and rights on the distribution of assets on any voluntary or involuntary liquidation, dissolution or winding up of the affairs of the Company. The Series A convertible preferred stock has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15" w:right="359" w:bottom="1440" w:gutter="0" w:footer="0" w:header="0"/>
        </w:sectPr>
      </w:pPr>
    </w:p>
    <w:bookmarkStart w:id="14" w:name="page15"/>
    <w:bookmarkEnd w:id="14"/>
    <w:p>
      <w:pPr>
        <w:ind w:right="360"/>
        <w:spacing w:after="0" w:line="282" w:lineRule="auto"/>
        <w:rPr>
          <w:sz w:val="20"/>
          <w:szCs w:val="20"/>
          <w:color w:val="auto"/>
        </w:rPr>
      </w:pPr>
      <w:r>
        <w:rPr>
          <w:rFonts w:ascii="Times New Roman" w:cs="Times New Roman" w:eastAsia="Times New Roman" w:hAnsi="Times New Roman"/>
          <w:sz w:val="18"/>
          <w:szCs w:val="18"/>
          <w:color w:val="auto"/>
        </w:rPr>
        <w:t>initial liquidation preference of $1,000 per share, which shall increase by accumulated quarterly dividends that are not paid in cash. Dividends on each share of Series A convertible preferred stock accrue at an annual rate equal to 7%.</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Series A convertible preferred stock is convertible in full at the option of the holders into the number of shares of Class A common stock equal to the quotient of (a) the sum of (i) the liquidation preference (reflecting increases for compounded dividends) plus (ii) the accrued dividends with respect to each share of convertible preferred stock as of the applicable conversion date divided by (b) the conversion price ($9.60 as of September 30, 2025 and subject to adjustment based on certain changes to our Class A common stock) as of the applicable conversion date. Notwithstanding the foregoing, a holder of Series A convertible preferred stock may elect to receive upon conversion, in lieu of the shares of Class A common stock otherwise deliverable, one share of our Series A-1 Convertible Non-Voting Perpetual Preferred Stock, par value $0.0001 per share (the “Series A-1 convertible preferred stock”), for every 1,000 shares of Class A common stock otherwise deliverable upon conversion. The Series A-1 convertible preferred stock will be essentially a substitute for the Class A common stock in the form of non-voting preferred stock. Holders of Series A-1 convertible preferred stock are only entitled to dividends if the Company declares such dividends.</w:t>
      </w:r>
    </w:p>
    <w:p>
      <w:pPr>
        <w:spacing w:after="0" w:line="18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terms of the Series A convertible preferred stock and Series A-1 convertible preferred stock contain certain anti-dilution adjustments. Subject to certain conditions, at any time after the third anniversary of the issuance of the Series A convertible preferred stock, if the volume weighted average price per share of Class A common stock on Nasdaq is equal to or greater than 150.0% of the then-applicable conversion price for each of at least 20 trading days, whether or not consecutive, in any period of 30 consecutive trading days ending on and including the trading day immediately before we provide the holders with notice of its election to convert all or a portion of the Series A convertible preferred stock into the relevant number of shares of Class A common stock or Series A-1 convertible preferred stock (at the election of the holder), we may elect to convert all or a portion of the Series A convertible preferred stock into the relevant number of shares of Class A common stock or Series A-1 convertible preferred stock.</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affairs of the Company, the holders of shares of Series A-1 convertible preferred stock (if issued upon conversion of the Series A convertible preferred stock) will be entitled, out of assets legally available therefor, and subject to the rights of the holders of any senior stock (including the Series A convertible preferred stock) or parity stock (including the Class A common stock and Class B common stock) and the rights of our existing and future creditors, to receive an aggregate amount per share equal to 1,000 (as may be adjusted) times the aggregate amount to be distributed per share to holders of shares of Class A common stock. Each holder of a whole share of Series A-1 convertible preferred stock (if issued upon conversion of the Series A convertible preferred stock) shall be entitled to receive when, as and if declared by the Board out of funds legally available for the purpose, an amount per share equal to 1,000 (as may be adjusted) times the aggregate per share amount of all cash dividends, and 1,000 (as may be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convertible preferred stock. Each holder of Series A-1 convertible preferred stock (if issued upon conversion of the Series A convertible preferred stock) will have the right, at such holder’s option, to convert in full each share of such holder’s Series A-1 convertible preferred stock at such time into the number of shares of Class A common stock based upon a conversion ratio of 1,000 shares of Class A common stock for each share of Series A-1 convertible preferred stock (such ratio being subject to adjustment).</w:t>
      </w:r>
    </w:p>
    <w:p>
      <w:pPr>
        <w:spacing w:after="0" w:line="19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Holders of the Series A convertible preferred stock are entitled to vote with the holders of the Class A common stock on an as-converted basis on all matters submitted to a vote of the holders of the Class A common stock. Notwithstanding the foregoing: (1) the lead purchaser’s voting rights shall not exceed 9.99% of the voting rights associated with the issued and outstanding shares of capital stock of the Company at any time; and (2) the voting rights of the purchasers holding Series A convertible preferred stock, voting on an as-converted basis with the holders of the Class A common stock and the holders of any other class or series of capital stock of the Company then entitled to vote, shall be capped at the maximum amount that would not result in requiring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00"/>
          </w:cols>
          <w:pgMar w:left="320" w:top="1417" w:right="379" w:bottom="1440" w:gutter="0" w:footer="0" w:header="0"/>
        </w:sectPr>
      </w:pPr>
    </w:p>
    <w:bookmarkStart w:id="15" w:name="page16"/>
    <w:bookmarkEnd w:id="15"/>
    <w:p>
      <w:pPr>
        <w:ind w:right="360"/>
        <w:spacing w:after="0" w:line="266" w:lineRule="auto"/>
        <w:rPr>
          <w:sz w:val="20"/>
          <w:szCs w:val="20"/>
          <w:color w:val="auto"/>
        </w:rPr>
      </w:pPr>
      <w:r>
        <w:rPr>
          <w:rFonts w:ascii="Times New Roman" w:cs="Times New Roman" w:eastAsia="Times New Roman" w:hAnsi="Times New Roman"/>
          <w:sz w:val="18"/>
          <w:szCs w:val="18"/>
          <w:color w:val="auto"/>
        </w:rPr>
        <w:t>for the exercise of such voting rights pursuant to Nasdaq listing rules. In addition, holders of the Series A convertible preferred stock are entitled to a separate class vote with respect to certain matters. The Series A-1 convertible preferred stock is not entitled to vote with the Class A common stock on matters submitted to a vote of the holders of the Class A common stock and will have no voting rights except as required by applicable law.</w:t>
      </w:r>
    </w:p>
    <w:p>
      <w:pPr>
        <w:spacing w:after="0" w:line="17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At any time following the fifth anniversary of the issuance of the Series A convertible preferred stock, we may redeem the Series A convertible preferred stock, in whole or in part, for a per share amount in cash equal to the liquidation preference (reflecting increases for compounded dividends) thereof plus all accrued dividends as of the applicable redemption date. Upon certain change of control events, (i) a holder of the Series A convertible preferred stock may, so long as such payment would not otherwise result in a breach of, or event of default under, then-existing credit agreements, indentures or other financing arrangements, require us to purchase and (ii) subject to a holder’s right to convert its shares of Series A convertible preferred stock into Class A common stock or Series A-1 convertible preferred stock at the then-current conversion price, we may elect to purchase, all or a portion of such holder’s shares of Series A convertible preferred stock that have not been so converted, in each case at a purchase price per share of Series A convertible preferred stock, payable in cash, equal to (i) if the change of control effective date occurs at any time prior to the fifth anniversary of the issuance of the Series A convertible preferred stock, 160.0% of a purchaser’s original investment amount and (ii) if the change of control effective date occurs on or after the fifth anniversary of the issuance of the Series A convertible preferred stock, the liquidation preference (reflecting increases for compounded dividends) of such share of Series A convertible preferred stock plus the accrued dividends in respect of such share of Series A convertible preferred stock as of the change of control purchase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Securities and Exchange Act. Our amended and restated certificate of incorporation provides that, to the fullest extent permitted by law, any person or entity purchasing or otherwise acquiring or holding any interest in shares of our capital stock shall be deemed to have notice of and consented to the foregoing. By agreeing to this provision, however, stockholders are not deemed to have waived our compliance with the federal securities laws and the rules and regulations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Declaration and payment of any dividend are subject to the discretion of the Board. The time and amount of dividends is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the Board may consider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delay, defer or discourage another party from acquiring control of us. We expect that these provisions, which are summarized below, will discourage coercive takeover practices or inadequate takeover bids.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17" w:right="359" w:bottom="1440" w:gutter="0" w:footer="0" w:header="0"/>
        </w:sectPr>
      </w:pPr>
    </w:p>
    <w:bookmarkStart w:id="16" w:name="page17"/>
    <w:bookmarkEnd w:id="16"/>
    <w:p>
      <w:pPr>
        <w:spacing w:after="0" w:line="266" w:lineRule="auto"/>
        <w:rPr>
          <w:sz w:val="20"/>
          <w:szCs w:val="20"/>
          <w:color w:val="auto"/>
        </w:rPr>
      </w:pPr>
      <w:r>
        <w:rPr>
          <w:rFonts w:ascii="Times New Roman" w:cs="Times New Roman" w:eastAsia="Times New Roman" w:hAnsi="Times New Roman"/>
          <w:sz w:val="18"/>
          <w:szCs w:val="18"/>
          <w:color w:val="auto"/>
        </w:rPr>
        <w:t>provisions are also designed to encourage persons seeking to acquire control of us to first negotiate with the Board, which we believe may result in an improvement of the terms of any such acquisition in favor of our stockholders. However, they also give the Board the power to discourage acquisitions that some stockholders may favor.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authorized but unissued shares of our common stock and our preferred stock are available for future issuance without stockholder approval, subject to any limitations imposed by the Nasdaq listing rules. These additional shares may be used for a variety of corporate finance transactions, acquisitions and employee benefit plans and funding of redemptions of the common units of GoHealth Holdings, LLC, including those that we purchased with a portion of the net proceeds from our initial public offering (“LLC Interests”). The existence of authorized but unissued and unreserved common stock and preferred stock could make more difficult or discourage an attempt to obtain control of us by means of a proxy contest, tender offer, merger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Board is divided into three classes, with the classes as nearly equal in number as possible and each class serving three-year staggered terms. Our amended and restated certificate of incorporation also provides that subject to the rights of the holders of any series of preferred stock then outstanding, for as long as the amended and restated certificate of incorporation provides for a classified board of directors, any director, or the entire Board, may otherwise be removed only for cause by an affirmative vote of at least 66 2/3% of the voting power of all the outstanding shares of stock entitled to vote generally in the election of directors, at a meeting duly called for that purpose; provided, however, that the directors appointed pursuant to the Stockholders Agreement among Centerbridge, NVX Holdings and us (the “Stockholders Agreement”) may be removed with or without cause in accordance with the terms thereof and the requirements of the DGCL. These provisions may have the effect of deferring, delaying or discouraging hostile takeovers, or changes in control of us or our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at any time when Centerbridge Capital Partners III, L.P., our sponsor and a Delaware limited partnership, certain funds affiliated with Centerbridge Capital Partners III, L.P. and other entities over which Centerbridge Capital Partners III, L.P. has voting control (collectively, “Centerbridge”) beneficially owns, in the aggregate, at least 40% in voting power of the corporation entitled to vote generally in the election of directors, any action required or permitted to be taken by our stockholders at an annual meeting or special meeting of stockholders may be taken without a meeting, without prior notice and without a vote, if a written consent, setting forth the action so taken, is signed by the holders of our outstanding shares of common stock representing not less than the minimum number of votes that would be necessary to authorize such action at a meeting at which all outstanding shares of common stock entitled to vote thereon were present and voted and such consent is delivered to us in accordance with applicable law. However, at any time when Centerbridge beneficially owns, in the aggregate, less than 40% in voting power of the corporation entitled to vote generally in the election of directors, any action required or permitted to be taken at any annual or special meeting of stockholders must be effected at a duly called annual or special meeting of such holders and may not be effected by written consent in lieu of a meeting;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preferred stock designation.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Meetings of Stockholders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only the chairperson or co-chairperson of the Board or a majority of the Board may call special meetings of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 and Director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17" w:right="379" w:bottom="1440" w:gutter="0" w:footer="0" w:header="0"/>
        </w:sectPr>
      </w:pPr>
    </w:p>
    <w:bookmarkStart w:id="17" w:name="page18"/>
    <w:bookmarkEnd w:id="17"/>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our amended and restated bylaws establishes an advance notice procedure for stockholder proposals to be brought before an annual meeting of stockholders, including proposed nominations of candidates for election to the Board; provided, however, that so long as Centerbridge is entitled to nominate a director pursuant to the Stockholders Agreement, such advance notice provisions do not apply to Centerbridge in connection with the nomination of directors. In order for any matter to be “properly brought” before a meeting, a stockholder has to comply with advance notice and duration of ownership requirements and provide us with certain information. Stockholders at an annual meeting may only consider proposals or nominations specified in the notice of meeting or brought before the meeting by or at the direction of the Board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 or Bylaws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(i) a majority vote of the Board or (ii) at any time when Centerbridge beneficially owns, in the aggregate, less than 40% in voting power of the corporation entitled to vote generally in the election of directors, by the affirmative vote of at least 66 2/3% of the voting power of all outstanding voting stock of the corporation entitled to vote, voting together as a single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of the DGCL</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a provision opting out of Section 203 of the DGCL. However, our amended and restated certificate of incorporation contains provisions that are similar to Section 203. Specifically, our amended and restated certificate of incorporation provides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the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However, under our amended and restated certificate of incorporation, Centerbridge and NVX Holdings, Inc., a Delaware corporation that is controlled by Brandon M. Cruz, our Co-Founder and Chief Strategy Officer and Special Advisor to the Executive Team, and Clinton P. Jones, our Co-Founder and Chief Executive Officer (“NVX Holdings”) and any of their respective affiliates are not deemed to be interested stockholders regardless of the percentage of our outstanding voting stock owned by them, and accordingly are not subject to such restrictions.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indemnification for our directors and officers to the fullest extent permitted by the DGCL. We have entered into 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17"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Opportunity Doctrine</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fullest extent permitted from time to time by Delaware law, provides that we renounce any interest or expectancy that we otherwise would have in, all rights to be offered an opportunity to participate in, any business opportunity that are from time to time may be presented to Centerbridge or its affiliates (other than us and our subsidiaries), and any of its or their respective principals, members, directors, partners, stockholders, officers, employees or other representatives (other than any such person who is also our employee or an employee of our subsidiaries subsidiaries), or any director or stockholder who is not employed by us or our subsidiaries (each such person, an “exempt person”). Our amended and restated certificate of incorporation provides that, to the fullest extent permitted by law, no exempt person has any duty to refrain from (1) engaging in a corporate opportunity in the same or similar lines of business in which we or our subsidiaries now engage or propose to engage or (2) otherwise competing with us or our subsidiaries.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not have a duty to communicate or offer such transaction or business opportunity to us or any of our subsidiaries and such exempt person may take any such opportunity for themselves or offer it to another person or entity. The forgoing provisions shall not apply to an opportunity that was expressly offered to an exempt person solely in their capacity as a director, executive officer or employee of us or our subsidiaries. To the fullest extent permitted by Delaware law, no potential transaction or business opportunity may be deemed to be a corporate opportunity of the corporation or its subsidiaries unless (1) we or our subsidiaries would be permitted to undertake such transaction or opportunity in accordance with the amended and restated certificate of incorporation, (2) we or our subsidiaries, at such time have sufficient financial resources to undertake such transaction or opportunity, (3) we or our subsidiaries have an interest 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our stockholders have appraisal rights in connection with a merger or consolidation of GoHealth, Inc.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Symbol and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A common stock is listed on Nasdaq under the symbol “GOCO.”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417" w:right="35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16" w:lineRule="exact"/>
        <w:rPr>
          <w:sz w:val="20"/>
          <w:szCs w:val="20"/>
          <w:color w:val="auto"/>
        </w:rPr>
      </w:pPr>
    </w:p>
    <w:p>
      <w:pPr>
        <w:jc w:val="both"/>
        <w:ind w:left="20" w:right="220" w:firstLine="648"/>
        <w:spacing w:after="0" w:line="250"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 from time to time of up to 9,566,028 shares of Class A common stock, including 5,386,178 shares of Class A common stock that are issuable upon the exchange of common units (“LLC Interests”) of GoHealth Holdings, LLC and the cancellation of a corresponding number of shares of our Class B common stock.</w:t>
      </w:r>
    </w:p>
    <w:p>
      <w:pPr>
        <w:spacing w:after="0" w:line="204" w:lineRule="exact"/>
        <w:rPr>
          <w:sz w:val="20"/>
          <w:szCs w:val="20"/>
          <w:color w:val="auto"/>
        </w:rPr>
      </w:pPr>
    </w:p>
    <w:p>
      <w:pPr>
        <w:ind w:left="20" w:firstLine="648"/>
        <w:spacing w:after="0" w:line="236" w:lineRule="auto"/>
        <w:rPr>
          <w:sz w:val="20"/>
          <w:szCs w:val="20"/>
          <w:color w:val="auto"/>
        </w:rPr>
      </w:pPr>
      <w:r>
        <w:rPr>
          <w:rFonts w:ascii="Times New Roman" w:cs="Times New Roman" w:eastAsia="Times New Roman" w:hAnsi="Times New Roman"/>
          <w:sz w:val="18"/>
          <w:szCs w:val="18"/>
          <w:color w:val="auto"/>
        </w:rPr>
        <w:t>In connection with our initial public offering (“IPO”), we entered into a Registration Rights Agreement with certain of our pre-IPO stockholders (the “IPO Selling Stockholders”), including the Selling Stockholder, pursuant to which we agreed to provide such IPO Selling Stockholders with certain “demand” and “piggyback” registration rights with respect to the shares of Class A common stock held by them, including shares of Class A common stock that are issuable upon the exchange of LLC Interests and the cancellation of a corresponding number of shares of Class B common stock. In connection with our initial public offering and the related reorganization transactions, we issued to the IPO Selling Stockholder one share of Class B common stock for each LLC Interest that they held immediately following our IPO and the related reorganization transactions. Each IPO Selling Stockholder may exchange, at its option (subject in certain circumstances to time-based vesting requirements and certain other restrictions set forth in the Second Amended and Restated Limited Liability Company Agreement of GoHealth Holdings, LLC dated July 15, 2020, as amended), in whole or in part from time to time, its LLC Interests (along with an equal number of shares of Class B common stock (and such shares of Class B common stock shall be immediately cancelled)), for, at our election (determined by at least two of our independent directors (within the meaning of the Nasdaq rules) who are disinterested), cash or newly-issued shares of Class A common stock. See “Certain Relationships and Related Person Transactions” in the proxy statement for our 2025 annual meeting of stockholders for information regarding agreements we have entered into with the Selling Stockholder and its affiliates that provide the Selling Stockholder and its affiliates with certain rights, including board designation rights. For additional information, see “Where You Can Find Additional Information” included elsewhere in this prospectus.</w:t>
      </w:r>
    </w:p>
    <w:p>
      <w:pPr>
        <w:spacing w:after="0" w:line="215" w:lineRule="exact"/>
        <w:rPr>
          <w:sz w:val="20"/>
          <w:szCs w:val="20"/>
          <w:color w:val="auto"/>
        </w:rPr>
      </w:pPr>
    </w:p>
    <w:p>
      <w:pPr>
        <w:ind w:left="20" w:right="220" w:firstLine="648"/>
        <w:spacing w:after="0" w:line="238"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names of the Selling Stockholder, the aggregate number of shares of Class A common stock beneficially owned prior to the offering, the aggregate number of shares of Class A common stock that the Selling Stockholder may offer pursuant to this prospectus, and the number of shares of Class A common stock beneficially owned by, and percentage ownership of, the Selling Stockholder after the sale of the shares of Class A common stock offered hereby. Unless otherwise indicated, we have based percentage ownership following the offering on 16,093,116 shares of Class A common stock outstanding as of December 11, 2025 and have assumed that each Selling Stockholder will sell all shares of Class A common stock offered pursuant to this prospectus.</w:t>
      </w:r>
    </w:p>
    <w:p>
      <w:pPr>
        <w:spacing w:after="0" w:line="213" w:lineRule="exact"/>
        <w:rPr>
          <w:sz w:val="20"/>
          <w:szCs w:val="20"/>
          <w:color w:val="auto"/>
        </w:rPr>
      </w:pPr>
    </w:p>
    <w:p>
      <w:pPr>
        <w:ind w:left="20" w:right="220" w:firstLine="648"/>
        <w:spacing w:after="0" w:line="245"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shares of Class A common stock that they beneficially own, subject to community property laws where applicable.</w:t>
      </w:r>
    </w:p>
    <w:p>
      <w:pPr>
        <w:spacing w:after="0" w:line="208" w:lineRule="exact"/>
        <w:rPr>
          <w:sz w:val="20"/>
          <w:szCs w:val="20"/>
          <w:color w:val="auto"/>
        </w:rPr>
      </w:pPr>
    </w:p>
    <w:p>
      <w:pPr>
        <w:ind w:left="20" w:right="300" w:firstLine="648"/>
        <w:spacing w:after="0" w:line="245" w:lineRule="auto"/>
        <w:rPr>
          <w:sz w:val="20"/>
          <w:szCs w:val="20"/>
          <w:color w:val="auto"/>
        </w:rPr>
      </w:pPr>
      <w:r>
        <w:rPr>
          <w:rFonts w:ascii="Times New Roman" w:cs="Times New Roman" w:eastAsia="Times New Roman" w:hAnsi="Times New Roman"/>
          <w:sz w:val="18"/>
          <w:szCs w:val="18"/>
          <w:color w:val="auto"/>
        </w:rPr>
        <w:t>We cannot advise you as to whether the Selling Stockholder will in fact sell any or all of such Class A common stock. In addition, the Selling Stockholder may sell, transfer or otherwise dispose of, at any time and from time to time, the Class A common stock in transactions exempt from the registration requirements of the Securities Act after the date of this prospectus. For purposes of this table, we have assumed that the Selling Stockholder will have sold all of the shares of Class A common stock covered by this prospectus upon the completion of the offering.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of</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340" w:type="dxa"/>
            <w:vAlign w:val="bottom"/>
            <w:gridSpan w:val="3"/>
          </w:tcPr>
          <w:p>
            <w:pPr>
              <w:jc w:val="center"/>
              <w:ind w:left="688"/>
              <w:spacing w:after="0" w:line="160"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Class A Common Stock that</w:t>
            </w:r>
          </w:p>
        </w:tc>
        <w:tc>
          <w:tcPr>
            <w:tcW w:w="258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of Class A Common Stock</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280" w:type="dxa"/>
            <w:vAlign w:val="bottom"/>
            <w:gridSpan w:val="5"/>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2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may</w:t>
            </w:r>
          </w:p>
        </w:tc>
        <w:tc>
          <w:tcPr>
            <w:tcW w:w="25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8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 Sold in</w:t>
            </w:r>
          </w:p>
        </w:tc>
        <w:tc>
          <w:tcPr>
            <w:tcW w:w="1800" w:type="dxa"/>
            <w:vAlign w:val="bottom"/>
            <w:gridSpan w:val="3"/>
          </w:tcPr>
          <w:p>
            <w:pPr>
              <w:jc w:val="center"/>
              <w:ind w:left="608"/>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8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2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0" w:type="dxa"/>
            <w:vAlign w:val="bottom"/>
            <w:gridSpan w:val="3"/>
          </w:tcPr>
          <w:p>
            <w:pPr>
              <w:jc w:val="center"/>
              <w:ind w:left="608"/>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2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00" w:type="dxa"/>
            <w:vAlign w:val="bottom"/>
            <w:gridSpan w:val="3"/>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Offering(1)</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34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7"/>
                <w:szCs w:val="17"/>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7"/>
                <w:szCs w:val="17"/>
                <w:color w:val="auto"/>
              </w:rPr>
            </w:pPr>
          </w:p>
        </w:tc>
        <w:tc>
          <w:tcPr>
            <w:tcW w:w="180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Centerbridge(1)</w:t>
            </w:r>
          </w:p>
        </w:tc>
        <w:tc>
          <w:tcPr>
            <w:tcW w:w="1140" w:type="dxa"/>
            <w:vAlign w:val="bottom"/>
            <w:tcBorders>
              <w:top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9,566,028</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99"/>
              </w:rPr>
              <w:t>44.5%</w:t>
            </w:r>
          </w:p>
        </w:tc>
        <w:tc>
          <w:tcPr>
            <w:tcW w:w="18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9,566,028</w:t>
            </w:r>
          </w:p>
        </w:tc>
        <w:tc>
          <w:tcPr>
            <w:tcW w:w="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9,566,028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99"/>
              </w:rPr>
              <w:t>44.5%</w:t>
            </w:r>
          </w:p>
        </w:tc>
        <w:tc>
          <w:tcPr>
            <w:tcW w:w="180" w:type="dxa"/>
            <w:vAlign w:val="bottom"/>
          </w:tcPr>
          <w:p>
            <w:pPr>
              <w:spacing w:after="0"/>
              <w:rPr>
                <w:sz w:val="17"/>
                <w:szCs w:val="17"/>
                <w:color w:val="auto"/>
              </w:rPr>
            </w:pPr>
          </w:p>
        </w:tc>
        <w:tc>
          <w:tcPr>
            <w:tcW w:w="1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9,566,028</w:t>
            </w:r>
          </w:p>
        </w:tc>
        <w:tc>
          <w:tcPr>
            <w:tcW w:w="180" w:type="dxa"/>
            <w:vAlign w:val="bottom"/>
          </w:tcPr>
          <w:p>
            <w:pPr>
              <w:spacing w:after="0"/>
              <w:rPr>
                <w:sz w:val="17"/>
                <w:szCs w:val="17"/>
                <w:color w:val="auto"/>
              </w:rPr>
            </w:pPr>
          </w:p>
        </w:tc>
        <w:tc>
          <w:tcPr>
            <w:tcW w:w="1800" w:type="dxa"/>
            <w:vAlign w:val="bottom"/>
            <w:gridSpan w:val="3"/>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60"/>
          </w:cols>
          <w:pgMar w:left="300" w:top="1413" w:right="339" w:bottom="1440" w:gutter="0" w:footer="0" w:header="0"/>
        </w:sectPr>
      </w:pPr>
    </w:p>
    <w:bookmarkStart w:id="20" w:name="page21"/>
    <w:bookmarkEnd w:id="20"/>
    <w:p>
      <w:pPr>
        <w:spacing w:after="0" w:line="207" w:lineRule="exact"/>
        <w:rPr>
          <w:sz w:val="20"/>
          <w:szCs w:val="20"/>
          <w:color w:val="auto"/>
        </w:rPr>
      </w:pPr>
    </w:p>
    <w:p>
      <w:pPr>
        <w:ind w:left="320" w:hanging="320"/>
        <w:spacing w:after="0" w:line="212"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2,712,197 shares of Class A common stock held by CB Blizzard Lower Holdings A, L.P. (“CB Blizzard A”), (ii) 1,467,653 shares of Class A common stock held by CB Blizzard Holdings C, L.P. (“CB Blizzard C”), and (iii) 5,386,178 shares of Class A common stock issuable upon exchange of LLC Interests (and associated shares of Class B common stock) held by CB Blizzard Lower Holdings B, L.P. (“CB Blizzard B”). 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B. As a result, each of the foregoing entities may be deemed to share beneficial ownership of the LLC Interests held of record by CB Blizzard B. 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of the foregoing entities as to beneficial ownership of securities owned by another of the foregoing entities. In addition, Mr. Aronson expressly disclaims beneficial ownership of the securities held of record by each of CB Blizzard A, CB Blizzard C and CB Blizzard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160"/>
          </w:cols>
          <w:pgMar w:left="360" w:top="1440" w:right="37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Selling Stockholder may sell the Class A common stock offered by this prospectus and any accompanying prospectus supplement in any of the following ways: (1) to or through underwriters, brokers or dealers, (2) directly to purchasers, (3) through agents or (4) through a combination of any of these methods. The Class A common stock may be sold at a fixed price or prices, which may be changed, market prices prevailing at the time of sale, prices related to the prevailing market prices, or negotiated prices.</w:t>
      </w:r>
    </w:p>
    <w:p>
      <w:pPr>
        <w:spacing w:after="0" w:line="18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 may use any one or more of the following methods when selling the shares of Class A common stock offered by this prospectus:</w:t>
      </w:r>
    </w:p>
    <w:p>
      <w:pPr>
        <w:spacing w:after="0" w:line="148"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underwritten transactions;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98" w:lineRule="exact"/>
        <w:rPr>
          <w:rFonts w:ascii="Times New Roman" w:cs="Times New Roman" w:eastAsia="Times New Roman" w:hAnsi="Times New Roman"/>
          <w:sz w:val="18"/>
          <w:szCs w:val="18"/>
          <w:color w:val="auto"/>
        </w:rPr>
      </w:pPr>
    </w:p>
    <w:p>
      <w:pPr>
        <w:ind w:left="980" w:right="80" w:hanging="324"/>
        <w:spacing w:after="0" w:line="237"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through Nasdaq or on any national securities exchange or quotation service on which the shares of Class A common stock may be listed or quoted at the time of sale;</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84" w:lineRule="exact"/>
        <w:rPr>
          <w:rFonts w:ascii="Times New Roman" w:cs="Times New Roman" w:eastAsia="Times New Roman" w:hAnsi="Times New Roman"/>
          <w:sz w:val="18"/>
          <w:szCs w:val="18"/>
          <w:color w:val="auto"/>
        </w:rPr>
      </w:pPr>
    </w:p>
    <w:p>
      <w:pPr>
        <w:ind w:left="980" w:right="40" w:hanging="324"/>
        <w:spacing w:after="0" w:line="237"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 to sell a specified number of such shares of Class A common stock at a stipulated price per share;</w:t>
      </w:r>
    </w:p>
    <w:p>
      <w:pPr>
        <w:spacing w:after="0" w:line="171" w:lineRule="exact"/>
        <w:rPr>
          <w:rFonts w:ascii="Times New Roman" w:cs="Times New Roman" w:eastAsia="Times New Roman" w:hAnsi="Times New Roman"/>
          <w:sz w:val="18"/>
          <w:szCs w:val="18"/>
          <w:color w:val="auto"/>
        </w:rPr>
      </w:pPr>
    </w:p>
    <w:p>
      <w:pPr>
        <w:ind w:left="980" w:right="240" w:hanging="324"/>
        <w:spacing w:after="0" w:line="237"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(which may involve crosses) in which the broker-dealer so engaged will attempt to sell the shares of Class A common stock as agent but may position and resell a portion of the block as principal to facilitate the transaction;</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 delivery of shares of Class A common stock to close out short positions;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by broker-dealers of shares of Class A common stock that are loaned or pledged to such broker-dealers;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employees, members, limited partners or stockholders of the Selling Stockholder;</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offerings to or through a market maker or into an existing trading market, on an exchange or otherwise;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of the above methods of sale; and</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9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 will act independently of us in making decisions with respect to the timing, manner and size of each sale of shares of Class A common stock covered by this prospectus.</w:t>
      </w:r>
    </w:p>
    <w:p>
      <w:pPr>
        <w:spacing w:after="0" w:line="16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Selling Stockholder will sell all or any of the shares of Class A common stock offered by this prospectus. In addition, the Selling Stockholder may also sell shares of Class A common stock under Rule 144 under the Securities Act, if available, or in other transactions exempt from registration, rather than under this prospectus. The Selling Stockholder has the sole and absolute discretion not to accept any purchase offer or make any sale of shares of Class A common stock if they deem the purchase price to be unsatisfactory at any particular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13" w:right="339" w:bottom="1440" w:gutter="0" w:footer="0" w:header="0"/>
        </w:sectPr>
      </w:pPr>
    </w:p>
    <w:bookmarkStart w:id="22" w:name="page23"/>
    <w:bookmarkEnd w:id="22"/>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With respect to a particular offering of the shares of Class A common stock held by the Selling Stockholder, to the extent required, an accompanying prospectus supplement or, if appropriate, a post-effective amendment to the registration statement of which this prospectus is part, will be prepared and will set forth the following information:</w:t>
      </w:r>
    </w:p>
    <w:p>
      <w:pPr>
        <w:spacing w:after="0" w:line="16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Stockholder;</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broker-dealers or agents;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shares of Class A common stock;</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or agency fees or other items constituting underwriters’ or agents’ compensation;</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price to the public; and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w:t>
      </w:r>
    </w:p>
    <w:p>
      <w:pPr>
        <w:spacing w:after="0" w:line="21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distributions of the shares of Class A common stock or otherwise, the Selling Stockholder may enter into hedging transactions with broker-dealers or other financial institutions. In connection with such transactions, broker-dealers or other financial institutions may engage in short sales of the shares of Class A common stock in the course of hedging the positions they assume with the Selling Stockholder. The Selling Stockholder may also sell the shares of Class A common stock short and redeliver the shares of Class A common stock to close out such short positions. The Selling Stockholder may also enter into option or other transactions with broker-dealers or other financial institutions which require the delivery to such broker-dealer or other financial institution of shares of Class A common stock offered by this prospectus, which shares of Class A common stock such broker-dealer or other financial institution may resell pursuant to this prospectus (as supplemented or amended to reflect such transaction). The Selling Stockholder may also pledge shares of Class A common stock to a broker-dealer or other financial institution, and, upon a default, such broker-dealer or other financial institution, may effect sales of the pledged shares of Class A common stock pursuant to this prospectus (as supplemented or amended to reflect such transaction).</w:t>
      </w:r>
    </w:p>
    <w:p>
      <w:pPr>
        <w:spacing w:after="0" w:line="1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To facilitate the offering of the shares of Class A common stock, any underwriters or agents, as the case may be, involved in the offering of such shares of Class A common stock may engage in transactions that stabilize, maintain or otherwise affect the price of our Class A common stock. Specifically, the underwriters or agents, as the case may be, may overallot in connection with the offering, creating a short position in our Class A common stock for their own account. In addition, to cover overallotments or to stabilize the price of our securities, the underwriters or agents, as the case may be, may bid for, and purchase, such securities in the open market. Finally, in any offering of Class A common stock through a syndicate of underwriters, the underwriting syndicate may reclaim selling concessions allotted to an underwriter or a broker-dealer for distributing such shares of Class A common stock in the offering if the syndicate repurchases previously distributed shares of Class A common stock in transactions to cover syndicate short positions, in stabilization transactions or otherwise. Any of these activities may stabilize or maintain the market price of the shares of Class A common stock above independent market levels. The underwriters or agents, as the case may be, are not required to engage in these activities, and may end any of these activities at any time.</w:t>
      </w:r>
    </w:p>
    <w:p>
      <w:pPr>
        <w:spacing w:after="0" w:line="194"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Selling Stockholder may solicit offers to purchase the shares of Class A common stock directly from, and may sell such shares of Class A common stock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417" w:right="359" w:bottom="1440" w:gutter="0" w:footer="0" w:header="0"/>
        </w:sectPr>
      </w:pPr>
    </w:p>
    <w:bookmarkStart w:id="23" w:name="page24"/>
    <w:bookmarkEnd w:id="23"/>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It is possible that one or more underwriters, broker-dealers or agents may make a market in our shares of Class A common stock, but such underwriters, broker-dealers or agents will not be obligated to do so and may discontinue any market making at any time without notice. We cannot give any assurance as to the liquidity of the trading market for our shares of Class A common stock. Shares of our Class A common stock are currently listed on Nasdaq under the symbol “GOCO.”</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Selling Stockholder may authorize underwriters, broker-dealers or agents to solicit offers by certain purchasers to purchase the shares of Class A common stock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the Selling Stockholder pay for solicitation of these contracts.</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Selling Stockholder may enter into derivative transactions with third parties, or sell shares of Class A common stock not covered by this prospectus to third parties in privately negotiated transactions. If the applicable prospectus supplement indicates, in connection with those derivatives, the third parties may sell shares of Class A common stock covered by this prospectus and the applicable prospectus supplement, including in short sale transactions. If so, the third party may use shares of Class A common stock pledged by any Selling Stockholder or borrowed from any Selling Stockholder or others to settle those sales or to close out any related open borrowings of stock, and may use shares of Class A common stock received from any Selling Stockholder in settlement of those derivatives to close out any related open borrowings of stock. The third party in such sale transactions will be an underwriter and will be identified in the applicable prospectus supplement (or a post-effective amendment). In addition, any Selling Stockholder may otherwise loan or pledge shares of Class A common stock to a financial institution or other third party that in turn may sell the shares of Class A common stock short using this prospectus. Such financial institution or other third party may transfer its economic short position to investors in our Class A common stock or in connection with a concurrent offering of other shares of Class A common stock.</w:t>
      </w:r>
    </w:p>
    <w:p>
      <w:pPr>
        <w:spacing w:after="0" w:line="194"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In effecting sales, broker-dealers or agents engaged by the Selling Stockholder may arrange for other broker-dealers to participate. Broker-dealers or agents may receive commissions, discounts or concessions from the Selling Stockholder in amounts to be negotiated immediately prior to the sale.</w:t>
      </w:r>
    </w:p>
    <w:p>
      <w:pPr>
        <w:spacing w:after="0" w:line="14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offering the shares of Class A common stock covered by this prospectus, the Selling Stockholder and any underwriters, broker-dealers or agents who execute sales for the Selling Stockholder may be deemed to be “underwriters” within the meaning of the Securities Act in connection with such sales. Any discounts, commissions, concessions or profit they earn on any resale of those shares of Class A common stock may be underwriting discounts and commissions under the Securities Act.</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underwriters, broker-dealers and agents may engage in transactions with us or the Selling Stockholder, may have banking, lending or other relationships with us or perform services for us or the Selling Stockholder, in the ordinary course of business. Underwriters, broker-dealers and agents may be entitled to indemnification by us and the Selling Stockholder against certain civil liabilities, including liabilities under the Securities Act, or to contribution with respect to payments which the underwriters, broker-dealers and agents may be required to make in respect thereof.</w:t>
      </w:r>
    </w:p>
    <w:p>
      <w:pPr>
        <w:spacing w:after="0" w:line="180"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of Class A common stock must be sold in such jurisdictions only through registered or licensed brokers or dealers. In addition, in certain states the shares of Class A common stock may not be sold unless they have been registered or qualified for sale in the applicable state or an exemption from the registration or qualification requirement is available and is complied with.</w:t>
      </w:r>
    </w:p>
    <w:p>
      <w:pPr>
        <w:spacing w:after="0" w:line="180"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Selling Stockholder and any other persons participating in the sale or distribution of the shares of Class A common stock will be subject to applicable provisions of the Securities Act and the Exchange Act, and the rules and regulations thereunder, including, without limitation, Regulation M. These provisions may restrict certain activities of, and limit the timing of purchases and sales of any of the shares of Class A common stock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20"/>
          </w:cols>
          <w:pgMar w:left="320" w:top="14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Selling Stockholder or any other person, which limitations may affect the marketability of the shares of Class A common stock.</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Stockholder for the purpose of satisfying the prospectus delivery requirements of the Securities Act. The Selling Stockholder may indemnify any agent, broker-dealer or underwriter that participates in transactions involving the sale of the shares of Class A common stock against certain liabilities,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00"/>
          </w:cols>
          <w:pgMar w:left="320" w:top="1417" w:right="379" w:bottom="1440" w:gutter="0" w:footer="0" w:header="0"/>
        </w:sectPr>
      </w:pPr>
    </w:p>
    <w:bookmarkStart w:id="25" w:name="page26"/>
    <w:bookmarkEnd w:id="25"/>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16"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The validity of the shares of Class A common stock offered hereby will be passed upon for us by Bradley Burd, our Chief Legal Officer. Mr. Burd owns, or has the right to acquire, shares of our Class A common stock representing less than 1% of the total outstanding shares of Class A common stock. Any underwriters or agents will be advised about other issues relating to the offering by counsel to be named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180"/>
          </w:cols>
          <w:pgMar w:left="320" w:top="1440" w:right="399" w:bottom="1440" w:gutter="0" w:footer="0" w:header="0"/>
        </w:sectPr>
      </w:pPr>
    </w:p>
    <w:bookmarkStart w:id="26" w:name="page27"/>
    <w:bookmarkEnd w:id="26"/>
    <w:p>
      <w:pPr>
        <w:spacing w:after="0" w:line="2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2024,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0980"/>
          </w:cols>
          <w:pgMar w:left="320" w:top="1440" w:right="599" w:bottom="1440" w:gutter="0" w:footer="0" w:header="0"/>
        </w:sectPr>
      </w:pPr>
    </w:p>
    <w:bookmarkStart w:id="27" w:name="page28"/>
    <w:bookmarkEnd w:id="2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filed this registration statement on Form S-3 under the Securities Act with the SEC with respect to the Class A common stock offered hereby. This prospectus, which constitutes part of the registration statement, does not contain all of the information set forth in the registration statement and the exhibits and schedules thereto. For further information with respect to the Company and its Class A common stock,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in accordance with these requirements, we are required to file periodic reports and other information with the SEC. Our filings are available to the public on the internet, through a database maintained by the SEC at www.sec.gov.</w:t>
      </w:r>
    </w:p>
    <w:p>
      <w:pPr>
        <w:spacing w:after="0" w:line="17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Additionally, we make our SEC filings available, free of charge, on the Investor Relations section of our website at www.investors.gohealth.com as soon as reasonably practicable after we electronically file them with, or furnish them to, the SEC. Information contained in, or accessible through, our website is not a part of, and is not incorporated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568960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180"/>
          </w:cols>
          <w:pgMar w:left="320" w:top="1413" w:right="39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937260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9,566,028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1677035</wp:posOffset>
            </wp:positionH>
            <wp:positionV relativeFrom="paragraph">
              <wp:posOffset>498475</wp:posOffset>
            </wp:positionV>
            <wp:extent cx="2374265"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23742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GoHealth, Inc.</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2408555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84" w:lineRule="exact"/>
        <w:rPr>
          <w:sz w:val="20"/>
          <w:szCs w:val="20"/>
          <w:color w:val="auto"/>
        </w:rPr>
      </w:pPr>
    </w:p>
    <w:p>
      <w:pPr>
        <w:ind w:left="4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351" w:lineRule="exact"/>
        <w:rPr>
          <w:sz w:val="20"/>
          <w:szCs w:val="20"/>
          <w:color w:val="auto"/>
        </w:rPr>
      </w:pPr>
    </w:p>
    <w:p>
      <w:pPr>
        <w:ind w:left="20"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payable by us in connection with the offering of our Class A common stock. All amounts shown are estimates except for the SEC registration fee.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Amount Paid*</w:t>
            </w:r>
          </w:p>
        </w:tc>
      </w:tr>
      <w:tr>
        <w:trPr>
          <w:trHeight w:val="23"/>
        </w:trPr>
        <w:tc>
          <w:tcPr>
            <w:tcW w:w="79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3,884.00</w:t>
            </w:r>
          </w:p>
        </w:tc>
        <w:tc>
          <w:tcPr>
            <w:tcW w:w="180" w:type="dxa"/>
            <w:vAlign w:val="bottom"/>
            <w:tcBorders>
              <w:top w:val="single" w:sz="8" w:color="CCEEFF"/>
            </w:tcBorders>
            <w:shd w:val="clear" w:color="auto" w:fill="CCEEFF"/>
          </w:tcPr>
          <w:p>
            <w:pPr>
              <w:spacing w:after="0"/>
              <w:rPr>
                <w:sz w:val="21"/>
                <w:szCs w:val="21"/>
                <w:color w:val="auto"/>
              </w:rPr>
            </w:pPr>
          </w:p>
        </w:tc>
      </w:tr>
      <w:tr>
        <w:trPr>
          <w:trHeight w:val="270"/>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52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fees</w:t>
            </w:r>
          </w:p>
        </w:tc>
        <w:tc>
          <w:tcPr>
            <w:tcW w:w="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r>
      <w:tr>
        <w:trPr>
          <w:trHeight w:val="270"/>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52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r>
      <w:tr>
        <w:trPr>
          <w:trHeight w:val="270"/>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52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788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2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377190</wp:posOffset>
            </wp:positionV>
            <wp:extent cx="4877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0" w:hanging="314"/>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expenses are not presently known.</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351" w:lineRule="exact"/>
        <w:rPr>
          <w:sz w:val="20"/>
          <w:szCs w:val="20"/>
          <w:color w:val="auto"/>
        </w:rPr>
      </w:pPr>
    </w:p>
    <w:p>
      <w:pPr>
        <w:ind w:left="20" w:firstLine="648"/>
        <w:spacing w:after="0" w:line="255" w:lineRule="auto"/>
        <w:rPr>
          <w:sz w:val="20"/>
          <w:szCs w:val="20"/>
          <w:color w:val="auto"/>
        </w:rPr>
      </w:pPr>
      <w:r>
        <w:rPr>
          <w:rFonts w:ascii="Times New Roman" w:cs="Times New Roman" w:eastAsia="Times New Roman" w:hAnsi="Times New Roman"/>
          <w:sz w:val="18"/>
          <w:szCs w:val="18"/>
          <w:color w:val="auto"/>
        </w:rPr>
        <w:t>Section 102 of the General Corporation Law of the State of Delaware permits a corporation to eliminate the personal liability of directors and officers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 The Company’s amended and restated certificate of incorporation provides that no director of GoHealth, Inc.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89" w:lineRule="exact"/>
        <w:rPr>
          <w:sz w:val="20"/>
          <w:szCs w:val="20"/>
          <w:color w:val="auto"/>
        </w:rPr>
      </w:pPr>
    </w:p>
    <w:p>
      <w:pPr>
        <w:ind w:left="20" w:firstLine="648"/>
        <w:spacing w:after="0" w:line="254" w:lineRule="auto"/>
        <w:rPr>
          <w:sz w:val="20"/>
          <w:szCs w:val="20"/>
          <w:color w:val="auto"/>
        </w:rPr>
      </w:pPr>
      <w:r>
        <w:rPr>
          <w:rFonts w:ascii="Times New Roman" w:cs="Times New Roman" w:eastAsia="Times New Roman" w:hAnsi="Times New Roman"/>
          <w:sz w:val="18"/>
          <w:szCs w:val="18"/>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w:t>
      </w:r>
    </w:p>
    <w:p>
      <w:pPr>
        <w:sectPr>
          <w:pgSz w:w="11900" w:h="16838" w:orient="portrait"/>
          <w:cols w:equalWidth="0" w:num="1">
            <w:col w:w="11180"/>
          </w:cols>
          <w:pgMar w:left="300" w:top="1413" w:right="419" w:bottom="1440" w:gutter="0" w:footer="0" w:header="0"/>
        </w:sectPr>
      </w:pPr>
    </w:p>
    <w:bookmarkStart w:id="30" w:name="page31"/>
    <w:bookmarkEnd w:id="30"/>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case, such person is fairly and reasonably entitled to indemnity for such expenses which the Court of Chancery or such other court shall deem proper. The Company’s amended and restated certificate of incorporation and amended and restated bylaws provide indemnification for the Company’s directors and officers to the fullest extent permitted by the General Corporation Law of the State of Delaware.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entered into separate indemnification agreements with each of the Company’s directors and executive officers. Each indemnification agreement provides, among other things, for indemnification to the fullest extent permitted by law against any and all expenses, judgments, fines, penalties and amounts paid in settlement of any claim. The indemnification agreements provide for the advancement or payment of all expenses to the indemnitee and for the reimbursement to the Company if it is found that such indemnitee is not entitled to such indemnification under applicable law and the Company’s amended and restated certificate of incorporation and amended and restated bylaws.</w:t>
      </w:r>
    </w:p>
    <w:p>
      <w:pPr>
        <w:spacing w:after="0" w:line="18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a general liability insurance policy that covers certain liabilities of directors and officers of the Company arising out of claims based on acts or omissions in their capacities as directors or officers.</w:t>
      </w:r>
    </w:p>
    <w:p>
      <w:pPr>
        <w:spacing w:after="0" w:line="198" w:lineRule="exact"/>
        <w:rPr>
          <w:sz w:val="20"/>
          <w:szCs w:val="20"/>
          <w:color w:val="auto"/>
        </w:rPr>
      </w:pPr>
    </w:p>
    <w:p>
      <w:pPr>
        <w:ind w:left="20"/>
        <w:spacing w:after="0"/>
        <w:tabs>
          <w:tab w:leader="none" w:pos="22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3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as part of this registration statement.</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tabs>
          <w:tab w:leader="none" w:pos="108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Form of Underwriting Agreement</w:t>
      </w:r>
    </w:p>
    <w:p>
      <w:pPr>
        <w:spacing w:after="0" w:line="63" w:lineRule="exact"/>
        <w:rPr>
          <w:sz w:val="20"/>
          <w:szCs w:val="20"/>
          <w:color w:val="auto"/>
        </w:rPr>
      </w:pPr>
    </w:p>
    <w:p>
      <w:pPr>
        <w:ind w:left="1200" w:right="300" w:hanging="751"/>
        <w:spacing w:after="0" w:line="237" w:lineRule="auto"/>
        <w:tabs>
          <w:tab w:leader="none" w:pos="11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Amended and Restated Certificate of Incorporation of GoHealth Inc. (incorporated by reference to Exhibit 3.1 to the Current Report on Form 10-Q filed by the Registrant on August 20, 2020).</w:t>
      </w:r>
    </w:p>
    <w:p>
      <w:pPr>
        <w:spacing w:after="0" w:line="118" w:lineRule="exact"/>
        <w:rPr>
          <w:sz w:val="20"/>
          <w:szCs w:val="20"/>
          <w:color w:val="auto"/>
        </w:rPr>
      </w:pPr>
    </w:p>
    <w:p>
      <w:pPr>
        <w:ind w:left="1200" w:right="20" w:hanging="751"/>
        <w:spacing w:after="0" w:line="237" w:lineRule="auto"/>
        <w:tabs>
          <w:tab w:leader="none" w:pos="11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Amended and Restated Bylaws of GoHealth Inc. (incorporated by reference to Exhibit 3.2 to the Current Report on Form 10-Q filed by the Registrant on August 20, 2025).</w:t>
      </w:r>
    </w:p>
    <w:p>
      <w:pPr>
        <w:spacing w:after="0" w:line="118" w:lineRule="exact"/>
        <w:rPr>
          <w:sz w:val="20"/>
          <w:szCs w:val="20"/>
          <w:color w:val="auto"/>
        </w:rPr>
      </w:pPr>
    </w:p>
    <w:p>
      <w:pPr>
        <w:ind w:left="420" w:hanging="92"/>
        <w:spacing w:after="0"/>
        <w:tabs>
          <w:tab w:leader="none" w:pos="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u w:val="single" w:color="auto"/>
          <w:color w:val="auto"/>
        </w:rPr>
        <w:t>Opinion of Bradley Burd, Chief Legal Officer of GoHealth, Inc.</w:t>
      </w:r>
    </w:p>
    <w:p>
      <w:pPr>
        <w:spacing w:after="0" w:line="130"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17"/>
          <w:szCs w:val="17"/>
          <w:u w:val="single" w:color="auto"/>
          <w:color w:val="auto"/>
        </w:rPr>
        <w:t>Consent of Ernst &amp; Young LLP.</w:t>
      </w:r>
    </w:p>
    <w:p>
      <w:pPr>
        <w:spacing w:after="0" w:line="130"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w:t>
      </w:r>
      <w:r>
        <w:rPr>
          <w:rFonts w:ascii="Times New Roman" w:cs="Times New Roman" w:eastAsia="Times New Roman" w:hAnsi="Times New Roman"/>
          <w:sz w:val="17"/>
          <w:szCs w:val="17"/>
          <w:color w:val="auto"/>
        </w:rPr>
        <w:t>Consent of Bradley Burd, Chief Legal Officer of GoHealth, Inc. (included as part of Exhibit 5.1).</w:t>
      </w:r>
    </w:p>
    <w:p>
      <w:pPr>
        <w:spacing w:after="0" w:line="130"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24.1*Power of Attorney (included on the signature page to this registration statement).</w:t>
      </w:r>
    </w:p>
    <w:p>
      <w:pPr>
        <w:spacing w:after="0" w:line="130"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7"/>
          <w:szCs w:val="17"/>
          <w:u w:val="single" w:color="auto"/>
          <w:color w:val="auto"/>
        </w:rPr>
        <w:t>Filing Fee Table.</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4711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2" w:lineRule="exact"/>
        <w:rPr>
          <w:sz w:val="20"/>
          <w:szCs w:val="20"/>
          <w:color w:val="auto"/>
        </w:rPr>
      </w:pPr>
    </w:p>
    <w:p>
      <w:pPr>
        <w:ind w:left="380" w:hanging="354"/>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if necessary, by a post-effective amendment to the registration statement or as an exhibit to a document incorporated herein by reference.</w:t>
      </w: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22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37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84" w:lineRule="exact"/>
        <w:rPr>
          <w:rFonts w:ascii="Times New Roman" w:cs="Times New Roman" w:eastAsia="Times New Roman" w:hAnsi="Times New Roman"/>
          <w:sz w:val="18"/>
          <w:szCs w:val="18"/>
          <w:color w:val="auto"/>
        </w:rPr>
      </w:pPr>
    </w:p>
    <w:p>
      <w:pPr>
        <w:ind w:left="1500" w:hanging="583"/>
        <w:spacing w:after="0"/>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65" w:lineRule="exact"/>
        <w:rPr>
          <w:rFonts w:ascii="Times New Roman" w:cs="Times New Roman" w:eastAsia="Times New Roman" w:hAnsi="Times New Roman"/>
          <w:sz w:val="18"/>
          <w:szCs w:val="18"/>
          <w:color w:val="auto"/>
        </w:rPr>
      </w:pPr>
    </w:p>
    <w:p>
      <w:pPr>
        <w:ind w:left="1960" w:hanging="46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ectPr>
          <w:pgSz w:w="11900" w:h="16838" w:orient="portrait"/>
          <w:cols w:equalWidth="0" w:num="1">
            <w:col w:w="11240"/>
          </w:cols>
          <w:pgMar w:left="320" w:top="1417" w:right="339" w:bottom="1440" w:gutter="0" w:footer="0" w:header="0"/>
        </w:sectPr>
      </w:pPr>
    </w:p>
    <w:bookmarkStart w:id="31" w:name="page32"/>
    <w:bookmarkEnd w:id="31"/>
    <w:p>
      <w:pPr>
        <w:spacing w:after="0" w:line="153" w:lineRule="exact"/>
        <w:rPr>
          <w:sz w:val="20"/>
          <w:szCs w:val="20"/>
          <w:color w:val="auto"/>
        </w:rPr>
      </w:pPr>
    </w:p>
    <w:p>
      <w:pPr>
        <w:ind w:left="1220" w:hanging="463"/>
        <w:spacing w:after="0" w:line="230" w:lineRule="auto"/>
        <w:tabs>
          <w:tab w:leader="none" w:pos="12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0" w:lineRule="exact"/>
        <w:rPr>
          <w:rFonts w:ascii="Times New Roman" w:cs="Times New Roman" w:eastAsia="Times New Roman" w:hAnsi="Times New Roman"/>
          <w:sz w:val="17"/>
          <w:szCs w:val="17"/>
          <w:color w:val="auto"/>
        </w:rPr>
      </w:pPr>
    </w:p>
    <w:p>
      <w:pPr>
        <w:spacing w:after="0" w:line="365" w:lineRule="exact"/>
        <w:rPr>
          <w:rFonts w:ascii="Times New Roman" w:cs="Times New Roman" w:eastAsia="Times New Roman" w:hAnsi="Times New Roman"/>
          <w:sz w:val="17"/>
          <w:szCs w:val="17"/>
          <w:color w:val="auto"/>
        </w:rPr>
      </w:pPr>
    </w:p>
    <w:p>
      <w:pPr>
        <w:ind w:left="1220" w:right="20" w:hanging="463"/>
        <w:spacing w:after="0" w:line="237" w:lineRule="auto"/>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55" w:lineRule="exact"/>
        <w:rPr>
          <w:sz w:val="20"/>
          <w:szCs w:val="20"/>
          <w:color w:val="auto"/>
        </w:rPr>
      </w:pPr>
    </w:p>
    <w:p>
      <w:pPr>
        <w:ind w:left="760" w:right="40" w:hanging="583"/>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243" w:lineRule="exact"/>
        <w:rPr>
          <w:rFonts w:ascii="Times New Roman" w:cs="Times New Roman" w:eastAsia="Times New Roman" w:hAnsi="Times New Roman"/>
          <w:sz w:val="18"/>
          <w:szCs w:val="18"/>
          <w:color w:val="auto"/>
        </w:rPr>
      </w:pPr>
    </w:p>
    <w:p>
      <w:pPr>
        <w:ind w:left="760" w:right="20" w:hanging="583"/>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30" w:lineRule="exact"/>
        <w:rPr>
          <w:rFonts w:ascii="Times New Roman" w:cs="Times New Roman" w:eastAsia="Times New Roman" w:hAnsi="Times New Roman"/>
          <w:sz w:val="18"/>
          <w:szCs w:val="18"/>
          <w:color w:val="auto"/>
        </w:rPr>
      </w:pPr>
    </w:p>
    <w:p>
      <w:pPr>
        <w:ind w:left="760" w:hanging="58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79" w:lineRule="exact"/>
        <w:rPr>
          <w:rFonts w:ascii="Times New Roman" w:cs="Times New Roman" w:eastAsia="Times New Roman" w:hAnsi="Times New Roman"/>
          <w:sz w:val="18"/>
          <w:szCs w:val="18"/>
          <w:color w:val="auto"/>
        </w:rPr>
      </w:pPr>
    </w:p>
    <w:p>
      <w:pPr>
        <w:ind w:left="1220" w:right="140" w:hanging="463"/>
        <w:spacing w:after="0" w:line="237" w:lineRule="auto"/>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66" w:lineRule="exact"/>
        <w:rPr>
          <w:rFonts w:ascii="Times New Roman" w:cs="Times New Roman" w:eastAsia="Times New Roman" w:hAnsi="Times New Roman"/>
          <w:sz w:val="18"/>
          <w:szCs w:val="18"/>
          <w:color w:val="auto"/>
        </w:rPr>
      </w:pPr>
    </w:p>
    <w:p>
      <w:pPr>
        <w:ind w:left="1220" w:right="60" w:hanging="463"/>
        <w:spacing w:after="0" w:line="269" w:lineRule="auto"/>
        <w:tabs>
          <w:tab w:leader="none" w:pos="12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ectPr>
          <w:pgSz w:w="11900" w:h="16838" w:orient="portrait"/>
          <w:cols w:equalWidth="0" w:num="1">
            <w:col w:w="10460"/>
          </w:cols>
          <w:pgMar w:left="1060" w:top="1440" w:right="379" w:bottom="1440" w:gutter="0" w:footer="0" w:header="0"/>
        </w:sectPr>
      </w:pPr>
    </w:p>
    <w:bookmarkStart w:id="32" w:name="page33"/>
    <w:bookmarkEnd w:id="32"/>
    <w:p>
      <w:pPr>
        <w:spacing w:after="0" w:line="86" w:lineRule="exact"/>
        <w:rPr>
          <w:sz w:val="20"/>
          <w:szCs w:val="20"/>
          <w:color w:val="auto"/>
        </w:rPr>
      </w:pPr>
    </w:p>
    <w:p>
      <w:pPr>
        <w:ind w:left="328" w:right="200" w:hanging="328"/>
        <w:spacing w:after="0" w:line="258" w:lineRule="auto"/>
        <w:tabs>
          <w:tab w:leader="none" w:pos="32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318" w:lineRule="exact"/>
        <w:rPr>
          <w:rFonts w:ascii="Times New Roman" w:cs="Times New Roman" w:eastAsia="Times New Roman" w:hAnsi="Times New Roman"/>
          <w:sz w:val="18"/>
          <w:szCs w:val="18"/>
          <w:color w:val="auto"/>
        </w:rPr>
      </w:pPr>
    </w:p>
    <w:p>
      <w:pPr>
        <w:ind w:left="328" w:hanging="328"/>
        <w:spacing w:after="0" w:line="254" w:lineRule="auto"/>
        <w:tabs>
          <w:tab w:leader="none" w:pos="3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0868"/>
          </w:cols>
          <w:pgMar w:left="652" w:top="1440" w:right="37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Chicago, State of Illinois, on December 16, 2025.</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243" w:lineRule="exact"/>
        <w:rPr>
          <w:sz w:val="20"/>
          <w:szCs w:val="20"/>
          <w:color w:val="auto"/>
        </w:rPr>
      </w:pPr>
    </w:p>
    <w:tbl>
      <w:tblPr>
        <w:tblLayout w:type="fixed"/>
        <w:tblInd w:w="44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Vijay Kotte</w:t>
            </w:r>
          </w:p>
        </w:tc>
      </w:tr>
      <w:tr>
        <w:trPr>
          <w:trHeight w:val="2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Vijay Kotte</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Vijay Kotte and Brendan Shanahan as his true and lawful attorney-in-fact and agent, with full power of substitution and revocation, for him and in his name, place and stead, in any and all capacities, to execute any or all amendments, including any post-effective amendments and supplements to this registration statement, and any additional registration statement filed pursuant to Rule 462,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he might or could do in person, hereby ratifying and confirming all that each attorney-in-fact and agent, or his substitute or substitutes, may lawfully do or cause to be done by virtue 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 below.</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3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421"/>
        </w:trPr>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 Vijay Kotte</w:t>
            </w:r>
          </w:p>
        </w:tc>
        <w:tc>
          <w:tcPr>
            <w:tcW w:w="5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16, 2025</w:t>
            </w:r>
          </w:p>
        </w:tc>
      </w:tr>
      <w:tr>
        <w:trPr>
          <w:trHeight w:val="234"/>
        </w:trPr>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Vijay Kotte</w:t>
            </w:r>
          </w:p>
        </w:tc>
        <w:tc>
          <w:tcPr>
            <w:tcW w:w="5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800" w:type="dxa"/>
            <w:vAlign w:val="bottom"/>
          </w:tcPr>
          <w:p>
            <w:pPr>
              <w:spacing w:after="0"/>
              <w:rPr>
                <w:sz w:val="20"/>
                <w:szCs w:val="20"/>
                <w:color w:val="auto"/>
              </w:rPr>
            </w:pPr>
          </w:p>
        </w:tc>
      </w:tr>
      <w:tr>
        <w:trPr>
          <w:trHeight w:val="481"/>
        </w:trPr>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 Brendan Shanahan</w:t>
            </w:r>
          </w:p>
        </w:tc>
        <w:tc>
          <w:tcPr>
            <w:tcW w:w="5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16, 2025</w:t>
            </w:r>
          </w:p>
        </w:tc>
      </w:tr>
      <w:tr>
        <w:trPr>
          <w:trHeight w:val="216"/>
        </w:trPr>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Brendan Shanahan</w:t>
            </w:r>
          </w:p>
        </w:tc>
        <w:tc>
          <w:tcPr>
            <w:tcW w:w="5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Financial Officer and</w:t>
            </w:r>
          </w:p>
        </w:tc>
        <w:tc>
          <w:tcPr>
            <w:tcW w:w="280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800" w:type="dxa"/>
            <w:vAlign w:val="bottom"/>
          </w:tcPr>
          <w:p>
            <w:pPr>
              <w:spacing w:after="0"/>
              <w:rPr>
                <w:sz w:val="20"/>
                <w:szCs w:val="20"/>
                <w:color w:val="auto"/>
              </w:rPr>
            </w:pPr>
          </w:p>
        </w:tc>
      </w:tr>
      <w:tr>
        <w:trPr>
          <w:trHeight w:val="468"/>
        </w:trPr>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 Alan J. Carr</w:t>
            </w:r>
          </w:p>
        </w:tc>
        <w:tc>
          <w:tcPr>
            <w:tcW w:w="5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16, 2025</w:t>
            </w:r>
          </w:p>
        </w:tc>
      </w:tr>
      <w:tr>
        <w:trPr>
          <w:trHeight w:val="234"/>
        </w:trPr>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Alan J. Carr</w:t>
            </w: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81"/>
        </w:trPr>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 Brandon M. Cruz</w:t>
            </w:r>
          </w:p>
        </w:tc>
        <w:tc>
          <w:tcPr>
            <w:tcW w:w="5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16, 2025</w:t>
            </w:r>
          </w:p>
        </w:tc>
      </w:tr>
      <w:tr>
        <w:trPr>
          <w:trHeight w:val="234"/>
        </w:trPr>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Brandon M. Cruz</w:t>
            </w: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ectPr>
          <w:pgSz w:w="11900" w:h="16838" w:orient="portrait"/>
          <w:cols w:equalWidth="0" w:num="1">
            <w:col w:w="11240"/>
          </w:cols>
          <w:pgMar w:left="320" w:top="1413" w:right="339" w:bottom="1440" w:gutter="0" w:footer="0" w:header="0"/>
        </w:sectPr>
      </w:pPr>
    </w:p>
    <w:bookmarkStart w:id="34" w:name="page35"/>
    <w:bookmarkEnd w:id="34"/>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/s/ David Fisher</w:t>
            </w:r>
          </w:p>
        </w:tc>
        <w:tc>
          <w:tcPr>
            <w:tcW w:w="3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8"/>
              </w:rPr>
              <w:t>December 16, 2025</w:t>
            </w:r>
          </w:p>
        </w:tc>
      </w:tr>
      <w:tr>
        <w:trPr>
          <w:trHeight w:val="234"/>
        </w:trPr>
        <w:tc>
          <w:tcPr>
            <w:tcW w:w="316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rPr>
              <w:t>David Fisher</w:t>
            </w:r>
          </w:p>
        </w:tc>
        <w:tc>
          <w:tcPr>
            <w:tcW w:w="372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481"/>
        </w:trPr>
        <w:tc>
          <w:tcPr>
            <w:tcW w:w="316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/s/ Clinton P. Jones</w:t>
            </w:r>
          </w:p>
        </w:tc>
        <w:tc>
          <w:tcPr>
            <w:tcW w:w="3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8"/>
              </w:rPr>
              <w:t>December 16, 2025</w:t>
            </w:r>
          </w:p>
        </w:tc>
      </w:tr>
      <w:tr>
        <w:trPr>
          <w:trHeight w:val="234"/>
        </w:trPr>
        <w:tc>
          <w:tcPr>
            <w:tcW w:w="316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8"/>
              </w:rPr>
              <w:t>Clinton P. Jones</w:t>
            </w:r>
          </w:p>
        </w:tc>
        <w:tc>
          <w:tcPr>
            <w:tcW w:w="372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481"/>
        </w:trPr>
        <w:tc>
          <w:tcPr>
            <w:tcW w:w="316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/s/ Timothy R. Pohl</w:t>
            </w:r>
          </w:p>
        </w:tc>
        <w:tc>
          <w:tcPr>
            <w:tcW w:w="3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8"/>
              </w:rPr>
              <w:t>December 16, 2025</w:t>
            </w:r>
          </w:p>
        </w:tc>
      </w:tr>
      <w:tr>
        <w:trPr>
          <w:trHeight w:val="234"/>
        </w:trPr>
        <w:tc>
          <w:tcPr>
            <w:tcW w:w="316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Timothy R. Pohl</w:t>
            </w:r>
          </w:p>
        </w:tc>
        <w:tc>
          <w:tcPr>
            <w:tcW w:w="372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481"/>
        </w:trPr>
        <w:tc>
          <w:tcPr>
            <w:tcW w:w="316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/s/ William L. Transier</w:t>
            </w:r>
          </w:p>
        </w:tc>
        <w:tc>
          <w:tcPr>
            <w:tcW w:w="3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8"/>
              </w:rPr>
              <w:t>December 16, 2025</w:t>
            </w:r>
          </w:p>
        </w:tc>
      </w:tr>
      <w:tr>
        <w:trPr>
          <w:trHeight w:val="234"/>
        </w:trPr>
        <w:tc>
          <w:tcPr>
            <w:tcW w:w="316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8"/>
              </w:rPr>
              <w:t>William L. Transier</w:t>
            </w:r>
          </w:p>
        </w:tc>
        <w:tc>
          <w:tcPr>
            <w:tcW w:w="372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481"/>
        </w:trPr>
        <w:tc>
          <w:tcPr>
            <w:tcW w:w="316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/s/ Bao Truong</w:t>
            </w:r>
          </w:p>
        </w:tc>
        <w:tc>
          <w:tcPr>
            <w:tcW w:w="3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8"/>
              </w:rPr>
              <w:t>December 16, 2025</w:t>
            </w:r>
          </w:p>
        </w:tc>
      </w:tr>
      <w:tr>
        <w:trPr>
          <w:trHeight w:val="234"/>
        </w:trPr>
        <w:tc>
          <w:tcPr>
            <w:tcW w:w="316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Bao Truong</w:t>
            </w:r>
          </w:p>
        </w:tc>
        <w:tc>
          <w:tcPr>
            <w:tcW w:w="372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481"/>
        </w:trPr>
        <w:tc>
          <w:tcPr>
            <w:tcW w:w="316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/s/ Mark Weinsten</w:t>
            </w:r>
          </w:p>
        </w:tc>
        <w:tc>
          <w:tcPr>
            <w:tcW w:w="37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8"/>
              </w:rPr>
              <w:t>December 16, 2025</w:t>
            </w:r>
          </w:p>
        </w:tc>
      </w:tr>
      <w:tr>
        <w:trPr>
          <w:trHeight w:val="234"/>
        </w:trPr>
        <w:tc>
          <w:tcPr>
            <w:tcW w:w="316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8"/>
              </w:rPr>
              <w:t>Mark Weinsten</w:t>
            </w:r>
          </w:p>
        </w:tc>
        <w:tc>
          <w:tcPr>
            <w:tcW w:w="3720" w:type="dxa"/>
            <w:vAlign w:val="bottom"/>
          </w:tcPr>
          <w:p>
            <w:pPr>
              <w:spacing w:after="0"/>
              <w:rPr>
                <w:sz w:val="20"/>
                <w:szCs w:val="20"/>
                <w:color w:val="auto"/>
              </w:rPr>
            </w:pPr>
          </w:p>
        </w:tc>
        <w:tc>
          <w:tcPr>
            <w:tcW w:w="3000" w:type="dxa"/>
            <w:vAlign w:val="bottom"/>
          </w:tcPr>
          <w:p>
            <w:pPr>
              <w:spacing w:after="0"/>
              <w:rPr>
                <w:sz w:val="20"/>
                <w:szCs w:val="20"/>
                <w:color w:val="auto"/>
              </w:rPr>
            </w:pPr>
          </w:p>
        </w:tc>
      </w:tr>
    </w:tbl>
    <w:p>
      <w:pPr>
        <w:sectPr>
          <w:pgSz w:w="11900" w:h="16838" w:orient="portrait"/>
          <w:cols w:equalWidth="0" w:num="1">
            <w:col w:w="9880"/>
          </w:cols>
          <w:pgMar w:left="1000" w:top="1440" w:right="1019" w:bottom="1440" w:gutter="0" w:footer="0" w:header="0"/>
        </w:sectPr>
      </w:pPr>
    </w:p>
    <w:bookmarkStart w:id="35" w:name="page36"/>
    <w:bookmarkEnd w:id="35"/>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4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1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(Form Type)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GoHealth,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00" w:lineRule="exact"/>
        <w:rPr>
          <w:sz w:val="20"/>
          <w:szCs w:val="20"/>
          <w:color w:val="auto"/>
        </w:rPr>
      </w:pPr>
    </w:p>
    <w:p>
      <w:pPr>
        <w:spacing w:after="0" w:line="311" w:lineRule="exact"/>
        <w:rPr>
          <w:sz w:val="20"/>
          <w:szCs w:val="20"/>
          <w:color w:val="auto"/>
        </w:rPr>
      </w:pPr>
    </w:p>
    <w:tbl>
      <w:tblPr>
        <w:tblLayout w:type="fixed"/>
        <w:tblInd w:w="30" w:type="dxa"/>
        <w:tblCellMar>
          <w:top w:w="0" w:type="dxa"/>
          <w:left w:w="0" w:type="dxa"/>
          <w:bottom w:w="0" w:type="dxa"/>
          <w:right w:w="0" w:type="dxa"/>
        </w:tblCellMar>
      </w:tblPr>
      <w:tr>
        <w:trPr>
          <w:trHeight w:val="133"/>
        </w:trPr>
        <w:tc>
          <w:tcPr>
            <w:tcW w:w="760" w:type="dxa"/>
            <w:vAlign w:val="bottom"/>
            <w:tcBorders>
              <w:top w:val="single" w:sz="8" w:color="auto"/>
              <w:left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Security Type</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Security</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Fee Calculation or</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20" w:type="dxa"/>
            <w:vAlign w:val="bottom"/>
            <w:tcBorders>
              <w:top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9"/>
              </w:rPr>
              <w:t>Proposed</w:t>
            </w: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Maximum Aggregate</w:t>
            </w:r>
          </w:p>
        </w:tc>
        <w:tc>
          <w:tcPr>
            <w:tcW w:w="380" w:type="dxa"/>
            <w:vAlign w:val="bottom"/>
            <w:tcBorders>
              <w:top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jc w:val="center"/>
              <w:ind w:right="366"/>
              <w:spacing w:after="0"/>
              <w:rPr>
                <w:sz w:val="20"/>
                <w:szCs w:val="20"/>
                <w:color w:val="auto"/>
              </w:rPr>
            </w:pPr>
            <w:r>
              <w:rPr>
                <w:rFonts w:ascii="Times New Roman" w:cs="Times New Roman" w:eastAsia="Times New Roman" w:hAnsi="Times New Roman"/>
                <w:sz w:val="11"/>
                <w:szCs w:val="11"/>
                <w:b w:val="1"/>
                <w:bCs w:val="1"/>
                <w:color w:val="auto"/>
                <w:w w:val="96"/>
              </w:rPr>
              <w:t>Fee Rate</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Amount of</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Carry</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Carry</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Carry</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Filing Fee</w:t>
            </w:r>
          </w:p>
        </w:tc>
      </w:tr>
      <w:tr>
        <w:trPr>
          <w:trHeight w:val="121"/>
        </w:trPr>
        <w:tc>
          <w:tcPr>
            <w:tcW w:w="760" w:type="dxa"/>
            <w:vAlign w:val="bottom"/>
            <w:tcBorders>
              <w:left w:val="single" w:sz="8" w:color="auto"/>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6"/>
              </w:rPr>
              <w:t>Class Title</w:t>
            </w:r>
          </w:p>
        </w:tc>
        <w:tc>
          <w:tcPr>
            <w:tcW w:w="8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Carry Forward</w:t>
            </w:r>
          </w:p>
        </w:tc>
        <w:tc>
          <w:tcPr>
            <w:tcW w:w="8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Registered</w:t>
            </w:r>
          </w:p>
        </w:tc>
        <w:tc>
          <w:tcPr>
            <w:tcW w:w="820" w:type="dxa"/>
            <w:vAlign w:val="bottom"/>
            <w:tcBorders>
              <w:right w:val="single" w:sz="8" w:color="auto"/>
            </w:tcBorders>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Maximum</w:t>
            </w:r>
          </w:p>
        </w:tc>
        <w:tc>
          <w:tcPr>
            <w:tcW w:w="1220" w:type="dxa"/>
            <w:vAlign w:val="bottom"/>
            <w:tcBorders>
              <w:right w:val="single" w:sz="8" w:color="auto"/>
            </w:tcBorders>
          </w:tcPr>
          <w:p>
            <w:pPr>
              <w:jc w:val="center"/>
              <w:ind w:right="5"/>
              <w:spacing w:after="0" w:line="122" w:lineRule="exact"/>
              <w:rPr>
                <w:sz w:val="20"/>
                <w:szCs w:val="20"/>
                <w:color w:val="auto"/>
              </w:rPr>
            </w:pPr>
            <w:r>
              <w:rPr>
                <w:rFonts w:ascii="Times New Roman" w:cs="Times New Roman" w:eastAsia="Times New Roman" w:hAnsi="Times New Roman"/>
                <w:sz w:val="11"/>
                <w:szCs w:val="11"/>
                <w:b w:val="1"/>
                <w:bCs w:val="1"/>
                <w:color w:val="auto"/>
              </w:rPr>
              <w:t>Offering Price</w:t>
            </w:r>
          </w:p>
        </w:tc>
        <w:tc>
          <w:tcPr>
            <w:tcW w:w="38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Registration Fee</w:t>
            </w:r>
          </w:p>
        </w:tc>
        <w:tc>
          <w:tcPr>
            <w:tcW w:w="7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Forward</w:t>
            </w:r>
          </w:p>
        </w:tc>
        <w:tc>
          <w:tcPr>
            <w:tcW w:w="7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Forward File</w:t>
            </w:r>
          </w:p>
        </w:tc>
        <w:tc>
          <w:tcPr>
            <w:tcW w:w="7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Forward</w:t>
            </w:r>
          </w:p>
        </w:tc>
        <w:tc>
          <w:tcPr>
            <w:tcW w:w="8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Previously Paid</w:t>
            </w:r>
          </w:p>
        </w:tc>
      </w:tr>
      <w:tr>
        <w:trPr>
          <w:trHeight w:val="122"/>
        </w:trPr>
        <w:tc>
          <w:tcPr>
            <w:tcW w:w="760" w:type="dxa"/>
            <w:vAlign w:val="bottom"/>
            <w:tcBorders>
              <w:left w:val="single" w:sz="8" w:color="auto"/>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0"/>
              </w:rPr>
              <w:t>Rule</w:t>
            </w:r>
          </w:p>
        </w:tc>
        <w:tc>
          <w:tcPr>
            <w:tcW w:w="88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Offering Price</w:t>
            </w:r>
          </w:p>
        </w:tc>
        <w:tc>
          <w:tcPr>
            <w:tcW w:w="12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Form Type</w:t>
            </w:r>
          </w:p>
        </w:tc>
        <w:tc>
          <w:tcPr>
            <w:tcW w:w="7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7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Initial</w:t>
            </w:r>
          </w:p>
        </w:tc>
        <w:tc>
          <w:tcPr>
            <w:tcW w:w="8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 Connection</w:t>
            </w:r>
          </w:p>
        </w:tc>
      </w:tr>
      <w:tr>
        <w:trPr>
          <w:trHeight w:val="122"/>
        </w:trPr>
        <w:tc>
          <w:tcPr>
            <w:tcW w:w="760" w:type="dxa"/>
            <w:vAlign w:val="bottom"/>
            <w:tcBorders>
              <w:left w:val="single" w:sz="8" w:color="auto"/>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Per Unit</w:t>
            </w:r>
          </w:p>
        </w:tc>
        <w:tc>
          <w:tcPr>
            <w:tcW w:w="12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effective date</w:t>
            </w:r>
          </w:p>
        </w:tc>
        <w:tc>
          <w:tcPr>
            <w:tcW w:w="8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with Unsold</w:t>
            </w:r>
          </w:p>
        </w:tc>
      </w:tr>
      <w:tr>
        <w:trPr>
          <w:trHeight w:val="122"/>
        </w:trPr>
        <w:tc>
          <w:tcPr>
            <w:tcW w:w="760" w:type="dxa"/>
            <w:vAlign w:val="bottom"/>
            <w:tcBorders>
              <w:left w:val="single" w:sz="8" w:color="auto"/>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Securities to be</w:t>
            </w:r>
          </w:p>
        </w:tc>
      </w:tr>
      <w:tr>
        <w:trPr>
          <w:trHeight w:val="142"/>
        </w:trPr>
        <w:tc>
          <w:tcPr>
            <w:tcW w:w="76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Carried Forward</w:t>
            </w:r>
          </w:p>
        </w:tc>
      </w:tr>
      <w:tr>
        <w:trPr>
          <w:trHeight w:val="36"/>
        </w:trPr>
        <w:tc>
          <w:tcPr>
            <w:tcW w:w="760" w:type="dxa"/>
            <w:vAlign w:val="bottom"/>
            <w:tcBorders>
              <w:left w:val="single" w:sz="8" w:color="auto"/>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176"/>
        </w:trPr>
        <w:tc>
          <w:tcPr>
            <w:tcW w:w="760" w:type="dxa"/>
            <w:vAlign w:val="bottom"/>
            <w:tcBorders>
              <w:left w:val="single" w:sz="8" w:color="auto"/>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Newly Registered Securities</w:t>
            </w:r>
          </w:p>
        </w:tc>
        <w:tc>
          <w:tcPr>
            <w:tcW w:w="9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r>
      <w:tr>
        <w:trPr>
          <w:trHeight w:val="121"/>
        </w:trPr>
        <w:tc>
          <w:tcPr>
            <w:tcW w:w="76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Fees to Be Paid</w:t>
            </w:r>
          </w:p>
        </w:tc>
        <w:tc>
          <w:tcPr>
            <w:tcW w:w="7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Equity</w:t>
            </w:r>
          </w:p>
        </w:tc>
        <w:tc>
          <w:tcPr>
            <w:tcW w:w="7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Class A</w:t>
            </w:r>
          </w:p>
        </w:tc>
        <w:tc>
          <w:tcPr>
            <w:tcW w:w="8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Other</w:t>
            </w:r>
          </w:p>
        </w:tc>
        <w:tc>
          <w:tcPr>
            <w:tcW w:w="8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9,566,028</w:t>
            </w:r>
            <w:r>
              <w:rPr>
                <w:rFonts w:ascii="Times New Roman" w:cs="Times New Roman" w:eastAsia="Times New Roman" w:hAnsi="Times New Roman"/>
                <w:sz w:val="7"/>
                <w:szCs w:val="7"/>
                <w:color w:val="auto"/>
                <w:w w:val="99"/>
              </w:rPr>
              <w:t>(1)</w:t>
            </w:r>
          </w:p>
        </w:tc>
        <w:tc>
          <w:tcPr>
            <w:tcW w:w="820" w:type="dxa"/>
            <w:vAlign w:val="bottom"/>
            <w:tcBorders>
              <w:right w:val="single" w:sz="8" w:color="auto"/>
            </w:tcBorders>
          </w:tcPr>
          <w:p>
            <w:pPr>
              <w:jc w:val="center"/>
              <w:ind w:right="6"/>
              <w:spacing w:after="0" w:line="122" w:lineRule="exact"/>
              <w:rPr>
                <w:sz w:val="20"/>
                <w:szCs w:val="20"/>
                <w:color w:val="auto"/>
              </w:rPr>
            </w:pPr>
            <w:r>
              <w:rPr>
                <w:rFonts w:ascii="Times New Roman" w:cs="Times New Roman" w:eastAsia="Times New Roman" w:hAnsi="Times New Roman"/>
                <w:sz w:val="11"/>
                <w:szCs w:val="11"/>
                <w:color w:val="auto"/>
                <w:w w:val="97"/>
              </w:rPr>
              <w:t>$2.94</w:t>
            </w:r>
            <w:r>
              <w:rPr>
                <w:rFonts w:ascii="Times New Roman" w:cs="Times New Roman" w:eastAsia="Times New Roman" w:hAnsi="Times New Roman"/>
                <w:sz w:val="7"/>
                <w:szCs w:val="7"/>
                <w:color w:val="auto"/>
                <w:w w:val="97"/>
              </w:rPr>
              <w:t>(2)</w:t>
            </w:r>
          </w:p>
        </w:tc>
        <w:tc>
          <w:tcPr>
            <w:tcW w:w="1220" w:type="dxa"/>
            <w:vAlign w:val="bottom"/>
            <w:tcBorders>
              <w:right w:val="single" w:sz="8" w:color="auto"/>
            </w:tcBorders>
          </w:tcPr>
          <w:p>
            <w:pPr>
              <w:jc w:val="center"/>
              <w:ind w:right="5"/>
              <w:spacing w:after="0" w:line="122" w:lineRule="exact"/>
              <w:rPr>
                <w:sz w:val="20"/>
                <w:szCs w:val="20"/>
                <w:color w:val="auto"/>
              </w:rPr>
            </w:pPr>
            <w:r>
              <w:rPr>
                <w:rFonts w:ascii="Times New Roman" w:cs="Times New Roman" w:eastAsia="Times New Roman" w:hAnsi="Times New Roman"/>
                <w:sz w:val="11"/>
                <w:szCs w:val="11"/>
                <w:color w:val="auto"/>
                <w:w w:val="98"/>
              </w:rPr>
              <w:t>$28,124,122.32</w:t>
            </w:r>
          </w:p>
        </w:tc>
        <w:tc>
          <w:tcPr>
            <w:tcW w:w="380" w:type="dxa"/>
            <w:vAlign w:val="bottom"/>
          </w:tcPr>
          <w:p>
            <w:pPr>
              <w:spacing w:after="0"/>
              <w:rPr>
                <w:sz w:val="10"/>
                <w:szCs w:val="10"/>
                <w:color w:val="auto"/>
              </w:rPr>
            </w:pPr>
          </w:p>
        </w:tc>
        <w:tc>
          <w:tcPr>
            <w:tcW w:w="900" w:type="dxa"/>
            <w:vAlign w:val="bottom"/>
            <w:tcBorders>
              <w:right w:val="single" w:sz="8" w:color="auto"/>
            </w:tcBorders>
          </w:tcPr>
          <w:p>
            <w:pPr>
              <w:jc w:val="center"/>
              <w:ind w:right="386"/>
              <w:spacing w:after="0" w:line="122" w:lineRule="exact"/>
              <w:rPr>
                <w:sz w:val="20"/>
                <w:szCs w:val="20"/>
                <w:color w:val="auto"/>
              </w:rPr>
            </w:pPr>
            <w:r>
              <w:rPr>
                <w:rFonts w:ascii="Times New Roman" w:cs="Times New Roman" w:eastAsia="Times New Roman" w:hAnsi="Times New Roman"/>
                <w:sz w:val="11"/>
                <w:szCs w:val="11"/>
                <w:color w:val="auto"/>
                <w:w w:val="98"/>
              </w:rPr>
              <w:t>0.0001381</w:t>
            </w:r>
          </w:p>
        </w:tc>
        <w:tc>
          <w:tcPr>
            <w:tcW w:w="9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$3,884.00</w:t>
            </w:r>
          </w:p>
        </w:tc>
        <w:tc>
          <w:tcPr>
            <w:tcW w:w="7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N/A</w:t>
            </w:r>
          </w:p>
        </w:tc>
        <w:tc>
          <w:tcPr>
            <w:tcW w:w="7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N/A</w:t>
            </w:r>
          </w:p>
        </w:tc>
        <w:tc>
          <w:tcPr>
            <w:tcW w:w="7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N/A</w:t>
            </w:r>
          </w:p>
        </w:tc>
        <w:tc>
          <w:tcPr>
            <w:tcW w:w="8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N/A</w:t>
            </w:r>
          </w:p>
        </w:tc>
      </w:tr>
      <w:tr>
        <w:trPr>
          <w:trHeight w:val="122"/>
        </w:trPr>
        <w:tc>
          <w:tcPr>
            <w:tcW w:w="760" w:type="dxa"/>
            <w:vAlign w:val="bottom"/>
            <w:tcBorders>
              <w:left w:val="single" w:sz="8" w:color="auto"/>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jc w:val="center"/>
              <w:ind w:right="6"/>
              <w:spacing w:after="0" w:line="122" w:lineRule="exact"/>
              <w:rPr>
                <w:sz w:val="20"/>
                <w:szCs w:val="20"/>
                <w:color w:val="auto"/>
              </w:rPr>
            </w:pPr>
            <w:r>
              <w:rPr>
                <w:rFonts w:ascii="Times New Roman" w:cs="Times New Roman" w:eastAsia="Times New Roman" w:hAnsi="Times New Roman"/>
                <w:sz w:val="11"/>
                <w:szCs w:val="11"/>
                <w:color w:val="auto"/>
                <w:w w:val="97"/>
              </w:rPr>
              <w:t>Common</w:t>
            </w:r>
          </w:p>
        </w:tc>
        <w:tc>
          <w:tcPr>
            <w:tcW w:w="8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r>
      <w:tr>
        <w:trPr>
          <w:trHeight w:val="122"/>
        </w:trPr>
        <w:tc>
          <w:tcPr>
            <w:tcW w:w="760" w:type="dxa"/>
            <w:vAlign w:val="bottom"/>
            <w:tcBorders>
              <w:left w:val="single" w:sz="8" w:color="auto"/>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jc w:val="center"/>
              <w:ind w:right="6"/>
              <w:spacing w:after="0" w:line="122" w:lineRule="exact"/>
              <w:rPr>
                <w:sz w:val="20"/>
                <w:szCs w:val="20"/>
                <w:color w:val="auto"/>
              </w:rPr>
            </w:pPr>
            <w:r>
              <w:rPr>
                <w:rFonts w:ascii="Times New Roman" w:cs="Times New Roman" w:eastAsia="Times New Roman" w:hAnsi="Times New Roman"/>
                <w:sz w:val="11"/>
                <w:szCs w:val="11"/>
                <w:color w:val="auto"/>
                <w:w w:val="98"/>
              </w:rPr>
              <w:t>Stock, par</w:t>
            </w:r>
          </w:p>
        </w:tc>
        <w:tc>
          <w:tcPr>
            <w:tcW w:w="8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r>
      <w:tr>
        <w:trPr>
          <w:trHeight w:val="122"/>
        </w:trPr>
        <w:tc>
          <w:tcPr>
            <w:tcW w:w="760" w:type="dxa"/>
            <w:vAlign w:val="bottom"/>
            <w:tcBorders>
              <w:left w:val="single" w:sz="8" w:color="auto"/>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value $0.0001</w:t>
            </w:r>
          </w:p>
        </w:tc>
        <w:tc>
          <w:tcPr>
            <w:tcW w:w="8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r>
      <w:tr>
        <w:trPr>
          <w:trHeight w:val="140"/>
        </w:trPr>
        <w:tc>
          <w:tcPr>
            <w:tcW w:w="76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9"/>
              </w:rPr>
              <w:t>per share</w:t>
            </w: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r>
      <w:tr>
        <w:trPr>
          <w:trHeight w:val="36"/>
        </w:trPr>
        <w:tc>
          <w:tcPr>
            <w:tcW w:w="760" w:type="dxa"/>
            <w:vAlign w:val="bottom"/>
            <w:tcBorders>
              <w:left w:val="single" w:sz="8" w:color="auto"/>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115"/>
        </w:trPr>
        <w:tc>
          <w:tcPr>
            <w:tcW w:w="76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Fees Previously</w:t>
            </w:r>
          </w:p>
        </w:tc>
        <w:tc>
          <w:tcPr>
            <w:tcW w:w="74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N/A</w:t>
            </w:r>
          </w:p>
        </w:tc>
        <w:tc>
          <w:tcPr>
            <w:tcW w:w="70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N/A</w:t>
            </w:r>
          </w:p>
        </w:tc>
        <w:tc>
          <w:tcPr>
            <w:tcW w:w="88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N/A</w:t>
            </w:r>
          </w:p>
        </w:tc>
        <w:tc>
          <w:tcPr>
            <w:tcW w:w="88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N/A</w:t>
            </w:r>
          </w:p>
        </w:tc>
        <w:tc>
          <w:tcPr>
            <w:tcW w:w="820" w:type="dxa"/>
            <w:vAlign w:val="bottom"/>
            <w:tcBorders>
              <w:right w:val="single" w:sz="8" w:color="auto"/>
            </w:tcBorders>
          </w:tcPr>
          <w:p>
            <w:pPr>
              <w:jc w:val="center"/>
              <w:ind w:right="6"/>
              <w:spacing w:after="0" w:line="115" w:lineRule="exact"/>
              <w:rPr>
                <w:sz w:val="20"/>
                <w:szCs w:val="20"/>
                <w:color w:val="auto"/>
              </w:rPr>
            </w:pPr>
            <w:r>
              <w:rPr>
                <w:rFonts w:ascii="Times New Roman" w:cs="Times New Roman" w:eastAsia="Times New Roman" w:hAnsi="Times New Roman"/>
                <w:sz w:val="11"/>
                <w:szCs w:val="11"/>
                <w:color w:val="auto"/>
              </w:rPr>
              <w:t>N/A</w:t>
            </w:r>
          </w:p>
        </w:tc>
        <w:tc>
          <w:tcPr>
            <w:tcW w:w="1220" w:type="dxa"/>
            <w:vAlign w:val="bottom"/>
            <w:tcBorders>
              <w:right w:val="single" w:sz="8" w:color="auto"/>
            </w:tcBorders>
          </w:tcPr>
          <w:p>
            <w:pPr>
              <w:jc w:val="center"/>
              <w:ind w:right="5"/>
              <w:spacing w:after="0" w:line="115" w:lineRule="exact"/>
              <w:rPr>
                <w:sz w:val="20"/>
                <w:szCs w:val="20"/>
                <w:color w:val="auto"/>
              </w:rPr>
            </w:pPr>
            <w:r>
              <w:rPr>
                <w:rFonts w:ascii="Times New Roman" w:cs="Times New Roman" w:eastAsia="Times New Roman" w:hAnsi="Times New Roman"/>
                <w:sz w:val="11"/>
                <w:szCs w:val="11"/>
                <w:color w:val="auto"/>
              </w:rPr>
              <w:t>N/A</w:t>
            </w:r>
          </w:p>
        </w:tc>
        <w:tc>
          <w:tcPr>
            <w:tcW w:w="380" w:type="dxa"/>
            <w:vAlign w:val="bottom"/>
          </w:tcPr>
          <w:p>
            <w:pPr>
              <w:spacing w:after="0"/>
              <w:rPr>
                <w:sz w:val="9"/>
                <w:szCs w:val="9"/>
                <w:color w:val="auto"/>
              </w:rPr>
            </w:pPr>
          </w:p>
        </w:tc>
        <w:tc>
          <w:tcPr>
            <w:tcW w:w="900" w:type="dxa"/>
            <w:vAlign w:val="bottom"/>
            <w:tcBorders>
              <w:right w:val="single" w:sz="8" w:color="auto"/>
            </w:tcBorders>
          </w:tcPr>
          <w:p>
            <w:pPr>
              <w:jc w:val="center"/>
              <w:ind w:right="386"/>
              <w:spacing w:after="0" w:line="115" w:lineRule="exact"/>
              <w:rPr>
                <w:sz w:val="20"/>
                <w:szCs w:val="20"/>
                <w:color w:val="auto"/>
              </w:rPr>
            </w:pPr>
            <w:r>
              <w:rPr>
                <w:rFonts w:ascii="Times New Roman" w:cs="Times New Roman" w:eastAsia="Times New Roman" w:hAnsi="Times New Roman"/>
                <w:sz w:val="11"/>
                <w:szCs w:val="11"/>
                <w:color w:val="auto"/>
                <w:w w:val="94"/>
              </w:rPr>
              <w:t>N/A</w:t>
            </w:r>
          </w:p>
        </w:tc>
        <w:tc>
          <w:tcPr>
            <w:tcW w:w="94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N/A</w:t>
            </w:r>
          </w:p>
        </w:tc>
        <w:tc>
          <w:tcPr>
            <w:tcW w:w="72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N/A</w:t>
            </w:r>
          </w:p>
        </w:tc>
        <w:tc>
          <w:tcPr>
            <w:tcW w:w="70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N/A</w:t>
            </w:r>
          </w:p>
        </w:tc>
        <w:tc>
          <w:tcPr>
            <w:tcW w:w="70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N/A</w:t>
            </w:r>
          </w:p>
        </w:tc>
        <w:tc>
          <w:tcPr>
            <w:tcW w:w="88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4"/>
              </w:rPr>
              <w:t>N/A</w:t>
            </w:r>
          </w:p>
        </w:tc>
      </w:tr>
      <w:tr>
        <w:trPr>
          <w:trHeight w:val="140"/>
        </w:trPr>
        <w:tc>
          <w:tcPr>
            <w:tcW w:w="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Paid</w:t>
            </w: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r>
      <w:tr>
        <w:trPr>
          <w:trHeight w:val="35"/>
        </w:trPr>
        <w:tc>
          <w:tcPr>
            <w:tcW w:w="760" w:type="dxa"/>
            <w:vAlign w:val="bottom"/>
            <w:tcBorders>
              <w:left w:val="single" w:sz="8" w:color="auto"/>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136"/>
        </w:trPr>
        <w:tc>
          <w:tcPr>
            <w:tcW w:w="760" w:type="dxa"/>
            <w:vAlign w:val="bottom"/>
            <w:tcBorders>
              <w:left w:val="single" w:sz="8" w:color="auto"/>
            </w:tcBorders>
          </w:tcPr>
          <w:p>
            <w:pPr>
              <w:spacing w:after="0"/>
              <w:rPr>
                <w:sz w:val="11"/>
                <w:szCs w:val="11"/>
                <w:color w:val="auto"/>
              </w:rPr>
            </w:pPr>
          </w:p>
        </w:tc>
        <w:tc>
          <w:tcPr>
            <w:tcW w:w="2320" w:type="dxa"/>
            <w:vAlign w:val="bottom"/>
            <w:gridSpan w:val="3"/>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6"/>
              </w:rPr>
              <w:t>Total Offering Amounts</w:t>
            </w:r>
          </w:p>
        </w:tc>
        <w:tc>
          <w:tcPr>
            <w:tcW w:w="8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jc w:val="center"/>
              <w:ind w:right="5"/>
              <w:spacing w:after="0"/>
              <w:rPr>
                <w:sz w:val="20"/>
                <w:szCs w:val="20"/>
                <w:color w:val="auto"/>
              </w:rPr>
            </w:pPr>
            <w:r>
              <w:rPr>
                <w:rFonts w:ascii="Times New Roman" w:cs="Times New Roman" w:eastAsia="Times New Roman" w:hAnsi="Times New Roman"/>
                <w:sz w:val="11"/>
                <w:szCs w:val="11"/>
                <w:color w:val="auto"/>
                <w:w w:val="98"/>
              </w:rPr>
              <w:t>$28,124,122.32</w:t>
            </w:r>
          </w:p>
        </w:tc>
        <w:tc>
          <w:tcPr>
            <w:tcW w:w="38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$3,884.00</w:t>
            </w:r>
          </w:p>
        </w:tc>
        <w:tc>
          <w:tcPr>
            <w:tcW w:w="7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r>
      <w:tr>
        <w:trPr>
          <w:trHeight w:val="33"/>
        </w:trPr>
        <w:tc>
          <w:tcPr>
            <w:tcW w:w="76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136"/>
        </w:trPr>
        <w:tc>
          <w:tcPr>
            <w:tcW w:w="760" w:type="dxa"/>
            <w:vAlign w:val="bottom"/>
            <w:tcBorders>
              <w:left w:val="single" w:sz="8" w:color="auto"/>
            </w:tcBorders>
          </w:tcPr>
          <w:p>
            <w:pPr>
              <w:spacing w:after="0"/>
              <w:rPr>
                <w:sz w:val="11"/>
                <w:szCs w:val="11"/>
                <w:color w:val="auto"/>
              </w:rPr>
            </w:pPr>
          </w:p>
        </w:tc>
        <w:tc>
          <w:tcPr>
            <w:tcW w:w="2320" w:type="dxa"/>
            <w:vAlign w:val="bottom"/>
            <w:gridSpan w:val="3"/>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7"/>
              </w:rPr>
              <w:t>Total Fees Previously Paid</w:t>
            </w:r>
          </w:p>
        </w:tc>
        <w:tc>
          <w:tcPr>
            <w:tcW w:w="8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r>
      <w:tr>
        <w:trPr>
          <w:trHeight w:val="33"/>
        </w:trPr>
        <w:tc>
          <w:tcPr>
            <w:tcW w:w="76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136"/>
        </w:trPr>
        <w:tc>
          <w:tcPr>
            <w:tcW w:w="760" w:type="dxa"/>
            <w:vAlign w:val="bottom"/>
            <w:tcBorders>
              <w:lef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580" w:type="dxa"/>
            <w:vAlign w:val="bottom"/>
            <w:gridSpan w:val="2"/>
          </w:tcPr>
          <w:p>
            <w:pPr>
              <w:jc w:val="center"/>
              <w:ind w:right="586"/>
              <w:spacing w:after="0"/>
              <w:rPr>
                <w:sz w:val="20"/>
                <w:szCs w:val="20"/>
                <w:color w:val="auto"/>
              </w:rPr>
            </w:pPr>
            <w:r>
              <w:rPr>
                <w:rFonts w:ascii="Times New Roman" w:cs="Times New Roman" w:eastAsia="Times New Roman" w:hAnsi="Times New Roman"/>
                <w:sz w:val="11"/>
                <w:szCs w:val="11"/>
                <w:b w:val="1"/>
                <w:bCs w:val="1"/>
                <w:color w:val="auto"/>
                <w:w w:val="97"/>
              </w:rPr>
              <w:t>Total Fee Offsets:</w:t>
            </w:r>
          </w:p>
        </w:tc>
        <w:tc>
          <w:tcPr>
            <w:tcW w:w="8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r>
      <w:tr>
        <w:trPr>
          <w:trHeight w:val="33"/>
        </w:trPr>
        <w:tc>
          <w:tcPr>
            <w:tcW w:w="76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136"/>
        </w:trPr>
        <w:tc>
          <w:tcPr>
            <w:tcW w:w="760" w:type="dxa"/>
            <w:vAlign w:val="bottom"/>
            <w:tcBorders>
              <w:lef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580" w:type="dxa"/>
            <w:vAlign w:val="bottom"/>
            <w:gridSpan w:val="2"/>
          </w:tcPr>
          <w:p>
            <w:pPr>
              <w:jc w:val="center"/>
              <w:ind w:right="566"/>
              <w:spacing w:after="0"/>
              <w:rPr>
                <w:sz w:val="20"/>
                <w:szCs w:val="20"/>
                <w:color w:val="auto"/>
              </w:rPr>
            </w:pPr>
            <w:r>
              <w:rPr>
                <w:rFonts w:ascii="Times New Roman" w:cs="Times New Roman" w:eastAsia="Times New Roman" w:hAnsi="Times New Roman"/>
                <w:sz w:val="11"/>
                <w:szCs w:val="11"/>
                <w:b w:val="1"/>
                <w:bCs w:val="1"/>
                <w:color w:val="auto"/>
                <w:w w:val="97"/>
              </w:rPr>
              <w:t>Net Fee Due</w:t>
            </w:r>
          </w:p>
        </w:tc>
        <w:tc>
          <w:tcPr>
            <w:tcW w:w="8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$3,884.00</w:t>
            </w:r>
          </w:p>
        </w:tc>
        <w:tc>
          <w:tcPr>
            <w:tcW w:w="7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r>
      <w:tr>
        <w:trPr>
          <w:trHeight w:val="33"/>
        </w:trPr>
        <w:tc>
          <w:tcPr>
            <w:tcW w:w="76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0"/>
          <w:szCs w:val="20"/>
          <w:color w:val="auto"/>
        </w:rPr>
      </w:pPr>
    </w:p>
    <w:p>
      <w:pPr>
        <w:ind w:right="160" w:firstLine="8"/>
        <w:spacing w:after="0" w:line="245"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maximum of 9,566,028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GoHealth,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to be sold by the selling stockholders. Pursuant to Rule 416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this registration statement shall also cover any additional shares of the Registrant’s Class A common stock that may become issuable by reason of any stock dividend, stock split, recapitalization, or other similar transaction.</w:t>
      </w:r>
    </w:p>
    <w:p>
      <w:pPr>
        <w:spacing w:after="0" w:line="207" w:lineRule="exact"/>
        <w:rPr>
          <w:rFonts w:ascii="Times New Roman" w:cs="Times New Roman" w:eastAsia="Times New Roman" w:hAnsi="Times New Roman"/>
          <w:sz w:val="18"/>
          <w:szCs w:val="18"/>
          <w:color w:val="auto"/>
        </w:rPr>
      </w:pPr>
    </w:p>
    <w:p>
      <w:pPr>
        <w:jc w:val="both"/>
        <w:ind w:right="480" w:firstLine="8"/>
        <w:spacing w:after="0" w:line="25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457(c) under the Securities Act, based upon $2.94, the average of the high and low prices of the Registrant’s Class A common stock on The Nasdaq Global Market on December 9, 2025 (a date within five business days prior to the filing of this registration statement).</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5"/>
          <w:szCs w:val="25"/>
          <w:b w:val="1"/>
          <w:bCs w:val="1"/>
          <w:color w:val="auto"/>
        </w:rPr>
        <w:t>GoHealth, Inc.</w:t>
      </w:r>
    </w:p>
    <w:p>
      <w:pPr>
        <w:spacing w:after="0" w:line="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5"/>
          <w:szCs w:val="25"/>
          <w:color w:val="auto"/>
        </w:rPr>
        <w:t>222 W Merchandise Mart Plaza, Suite 1750</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Chicago, IL 60654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16, 2025</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GoHealth,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 W Merchandise Mart Plaza, Suite 1750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09" w:lineRule="exact"/>
        <w:rPr>
          <w:sz w:val="20"/>
          <w:szCs w:val="20"/>
          <w:color w:val="auto"/>
        </w:rPr>
      </w:pPr>
    </w:p>
    <w:p>
      <w:pPr>
        <w:ind w:left="220"/>
        <w:spacing w:after="0"/>
        <w:tabs>
          <w:tab w:leader="none" w:pos="72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u w:val="single" w:color="auto"/>
          <w:color w:val="auto"/>
        </w:rPr>
        <w:t>Registration Statement on Form S-3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 am issuing this opinion letter in my capacity as Chief Legal Officer of GoHealth,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in connection with the preparation and filing by the Company of the Registration Statement on Form S-3 (such Registration Statement, as it may be subsequently amended or supplemented, is hereinafter referred to as the “</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with the Securities and Exchange Commission (the “</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under the Securities Act of 1933, as amended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filed on December 16, 2025.</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Registration Statement relates to the resale, from time to time, by the selling stockholder named in the prospectus contained in the Registration Statement (the “</w:t>
      </w:r>
      <w:r>
        <w:rPr>
          <w:rFonts w:ascii="Times New Roman" w:cs="Times New Roman" w:eastAsia="Times New Roman" w:hAnsi="Times New Roman"/>
          <w:sz w:val="22"/>
          <w:szCs w:val="22"/>
          <w:u w:val="single" w:color="auto"/>
          <w:color w:val="auto"/>
        </w:rPr>
        <w:t>Selling Stockholder</w:t>
      </w:r>
      <w:r>
        <w:rPr>
          <w:rFonts w:ascii="Times New Roman" w:cs="Times New Roman" w:eastAsia="Times New Roman" w:hAnsi="Times New Roman"/>
          <w:sz w:val="22"/>
          <w:szCs w:val="22"/>
          <w:color w:val="auto"/>
        </w:rPr>
        <w:t>”) of up to 9,566,028 shares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of the Company’s Class A common stock, par value $0.0001 per share (“</w:t>
      </w: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consisting of (i) 4,179,850 shares of Class A Common Stock (the “Outstanding Shares”) that are issued and outstanding as of the date hereof and (ii) 5,386,178 shares of Common Stock (the “Issuable Shares”) that are issuable by the Company upon the exchange by holders thereof of common units of GoHealth Holdings, LLC (“</w:t>
      </w:r>
      <w:r>
        <w:rPr>
          <w:rFonts w:ascii="Times New Roman" w:cs="Times New Roman" w:eastAsia="Times New Roman" w:hAnsi="Times New Roman"/>
          <w:sz w:val="22"/>
          <w:szCs w:val="22"/>
          <w:u w:val="single" w:color="auto"/>
          <w:color w:val="auto"/>
        </w:rPr>
        <w:t>GoHealth Holdings</w:t>
      </w:r>
      <w:r>
        <w:rPr>
          <w:rFonts w:ascii="Times New Roman" w:cs="Times New Roman" w:eastAsia="Times New Roman" w:hAnsi="Times New Roman"/>
          <w:sz w:val="22"/>
          <w:szCs w:val="22"/>
          <w:color w:val="auto"/>
        </w:rPr>
        <w:t>”) and the cancellation of a corresponding number of shares of Class B common stock of the Company, par value $0.0001 per share (“</w:t>
      </w:r>
      <w:r>
        <w:rPr>
          <w:rFonts w:ascii="Times New Roman" w:cs="Times New Roman" w:eastAsia="Times New Roman" w:hAnsi="Times New Roman"/>
          <w:sz w:val="22"/>
          <w:szCs w:val="22"/>
          <w:u w:val="single" w:color="auto"/>
          <w:color w:val="auto"/>
        </w:rPr>
        <w:t>Class B Common Stock</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connection with this opinion, I have examined originals, or copies certified or otherwise identified to our satisfaction, of such documents and records of the Company and such statutes, regulations and other instruments as I deemed necessary or advisable for purposes of this opinion, including (i) the corporate and organizational documents of the Company, including the Amended and Restated Certificate of Incorporation of GoHealth, Inc., filed with the Secretary of the State of Delaware on July 17, 2020 (as amended through the date hereof, the</w:t>
      </w:r>
    </w:p>
    <w:p>
      <w:pPr>
        <w:sectPr>
          <w:pgSz w:w="11900" w:h="16838" w:orient="portrait"/>
          <w:cols w:equalWidth="0" w:num="1">
            <w:col w:w="11240"/>
          </w:cols>
          <w:pgMar w:left="320" w:top="122"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2"/>
          <w:szCs w:val="22"/>
          <w:color w:val="auto"/>
        </w:rPr>
        <w:t>GoHealth, Inc.</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GoHealth, Inc.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December 16, 2025</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Charter</w:t>
      </w:r>
      <w:r>
        <w:rPr>
          <w:rFonts w:ascii="Times New Roman" w:cs="Times New Roman" w:eastAsia="Times New Roman" w:hAnsi="Times New Roman"/>
          <w:sz w:val="22"/>
          <w:szCs w:val="22"/>
          <w:color w:val="auto"/>
        </w:rPr>
        <w:t>”), (ii) the Second Amended and Restated Limited Liability Company Agreement of GoHealth Holdings, dated July 15, 2020 (as amended through the date hereof, the “</w:t>
      </w:r>
      <w:r>
        <w:rPr>
          <w:rFonts w:ascii="Times New Roman" w:cs="Times New Roman" w:eastAsia="Times New Roman" w:hAnsi="Times New Roman"/>
          <w:sz w:val="22"/>
          <w:szCs w:val="22"/>
          <w:u w:val="single" w:color="auto"/>
          <w:color w:val="auto"/>
        </w:rPr>
        <w:t>GoHealth Holdings LLC Agreement</w:t>
      </w:r>
      <w:r>
        <w:rPr>
          <w:rFonts w:ascii="Times New Roman" w:cs="Times New Roman" w:eastAsia="Times New Roman" w:hAnsi="Times New Roman"/>
          <w:sz w:val="22"/>
          <w:szCs w:val="22"/>
          <w:color w:val="auto"/>
        </w:rPr>
        <w:t>”), (iii) various minutes and records of the corporate proceedings of the Company with respect to the Registration Statement and the issuance of the Shares and (iv) the Registration Statement and the exhibits thereto. I am also familiar, through my employment with the Company, with the procedures undertaken by others with respect to the issuance of the Shares.</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For the purposes of this opinion, I have assumed the authenticity of all documents submitted to me as originals, the conformity to the originals of all documents submitted to me as copies and the authenticity of the originals of all documents submitted to me as copies. I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I have also assumed that the Company followed the procedures in place and such procedures were properly reviewed by the auditors, consistent with the normal scope of each audit.</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Based upon and subject to the foregoing qualifications, assumptions and limitations and the further limitations set forth below, I am of the opinion that the Shares have been duly authorized and (i) the Outstanding Shares are validly issued, fully paid and non-assessable and (ii) when the Issuable Shares have been duly issued upon the exchange of common units of GoHealth Holdings and the cancellation of a corresponding number of shares of Class B Common Stock, in each case, in accordance with the GoHealth Holdings LLC Agreement and the Company Charter, the Issuable Shares will be validly issued, fully paid and non-assessable.</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opinion is limited in all respects to the General Corporation Law of the State of Delaware. I express no opinion as to any other law or any matter other than as expressly set forth above, and no opinion as to any other law or matter may be inferred or implied herefrom. The opinions expressed herein are rendered as of the date hereof, and I expressly disclaim any obligation to update or supplement this letter or advise you of any change in any matter after the date hereof.</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 do not find it necessary for the purposes of this opinion, and accordingly I do not purport to cover herein, the application of the securities or “Blue Sky” laws of the various states to the issuance and sale of the Shares. I hereby consent to the filing of this opinion as Exhibit 5.1 to the Registration Statement. I also consent to the reference to my name under the heading “Legal Matters” in the Registration Statement. In giving this consent, I do not thereby admit that I am in the category of persons whose consent is required under Section 7 of the Act or the rules and regulations of the Commission.</w:t>
      </w:r>
    </w:p>
    <w:p>
      <w:pPr>
        <w:sectPr>
          <w:pgSz w:w="11900" w:h="16838" w:orient="portrait"/>
          <w:cols w:equalWidth="0" w:num="1">
            <w:col w:w="11240"/>
          </w:cols>
          <w:pgMar w:left="320" w:top="180"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22"/>
          <w:szCs w:val="22"/>
          <w:color w:val="auto"/>
        </w:rPr>
        <w:t>GoHealth, Inc.</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GoHealth, Inc.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December 16, 2025</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opinion is furnished to you in connection with the filing of the Registration Statement in accordance with the requirements of Item 601(b)(5) of Regulation S-K under the Act, and may be relied upon by you and by persons entitled to rely upon it pursuant to the applicable provisions of the Act.</w:t>
      </w:r>
    </w:p>
    <w:p>
      <w:pPr>
        <w:spacing w:after="0" w:line="18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Sincerely,</w:t>
      </w:r>
    </w:p>
    <w:p>
      <w:pPr>
        <w:spacing w:after="0" w:line="26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/s/ Bradley Burd</w:t>
      </w:r>
    </w:p>
    <w:p>
      <w:pPr>
        <w:spacing w:after="0" w:line="26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Bradley Burd</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Chief Legal Officer, GoHealth, Inc.</w:t>
      </w:r>
    </w:p>
    <w:p>
      <w:pPr>
        <w:sectPr>
          <w:pgSz w:w="11900" w:h="16838" w:orient="portrait"/>
          <w:cols w:equalWidth="0" w:num="1">
            <w:col w:w="11240"/>
          </w:cols>
          <w:pgMar w:left="320" w:top="18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5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consent to the reference to our firm under the caption "Experts" in this Registration Statement (Form S-3) and related Prospectus of GoHealth, Inc. for the registration of Class A common stock and to the incorporation by reference therein of our report dated February 27, 2025, with respect to the consolidated financial statements of GoHealth, Inc. included in its Annual Report (Form 10-K) for the year ended December 31, 2024, filed with the Securities and Exchange Commission.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 December 16, 2025</w:t>
      </w:r>
    </w:p>
    <w:sectPr>
      <w:pgSz w:w="11900" w:h="16838" w:orient="portrait"/>
      <w:cols w:equalWidth="0" w:num="1">
        <w:col w:w="10920"/>
      </w:cols>
      <w:pgMar w:left="320" w:top="1395"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lvl w:ilvl="1">
      <w:lvlJc w:val="left"/>
      <w:lvlText w:val=" "/>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1">
    <w:nsid w:val="109CF92E"/>
    <w:multiLevelType w:val="hybridMultilevel"/>
    <w:lvl w:ilvl="0">
      <w:lvlJc w:val="left"/>
      <w:lvlText w:val="(%1)"/>
      <w:numFmt w:val="lowerRoman"/>
      <w:start w:val="2"/>
    </w:lvl>
  </w:abstractNum>
  <w:abstractNum w:abstractNumId="12">
    <w:nsid w:val="DED7263"/>
    <w:multiLevelType w:val="hybridMultilevel"/>
    <w:lvl w:ilvl="0">
      <w:lvlJc w:val="left"/>
      <w:lvlText w:val="(%1)"/>
      <w:numFmt w:val="decimal"/>
      <w:start w:val="2"/>
    </w:lvl>
    <w:lvl w:ilvl="1">
      <w:lvlJc w:val="left"/>
      <w:lvlText w:val="(%2)"/>
      <w:numFmt w:val="upperLetter"/>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jpe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22" Type="http://schemas.openxmlformats.org/officeDocument/2006/relationships/hyperlink" Target="https://www.sec.gov/ix?doc=/Archives/edgar/data/1808220/000180822025000010/goco-20241231.htm" TargetMode="External"/><Relationship Id="rId23" Type="http://schemas.openxmlformats.org/officeDocument/2006/relationships/hyperlink" Target="https://www.sec.gov/ix?doc=/Archives/edgar/data/1808220/000180822025000054/goco-20250331.htm" TargetMode="External"/><Relationship Id="rId24" Type="http://schemas.openxmlformats.org/officeDocument/2006/relationships/hyperlink" Target="https://www.sec.gov/ix?doc=/Archives/edgar/data/1808220/000180822025000066/goco-20250630.htm" TargetMode="External"/><Relationship Id="rId25" Type="http://schemas.openxmlformats.org/officeDocument/2006/relationships/hyperlink" Target="https://www.sec.gov/ix?doc=/Archives/edgar/data/0001808220/000162828025052376/goco-20250930.htm" TargetMode="External"/><Relationship Id="rId26" Type="http://schemas.openxmlformats.org/officeDocument/2006/relationships/hyperlink" Target="https://www.sec.gov/ix?doc=/Archives/edgar/data/1808220/000180822025000069/goco-20250819.htm" TargetMode="External"/><Relationship Id="rId27" Type="http://schemas.openxmlformats.org/officeDocument/2006/relationships/hyperlink" Target="https://www.sec.gov/Archives/edgar/data/1808220/000180822021000010/goco-20201231xex42xform10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2025-12-16T16:14:32Z</dcterms:created>
  <dcterms:modified xsi:type="dcterms:W3CDTF">2025-12-16T16:14:32Z</dcterms:modified>
</cp:coreProperties>
</file>