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295910</wp:posOffset>
            </wp:positionV>
            <wp:extent cx="14916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304165</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GOHEALTH INC</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38046W105</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March 31, 2022</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296545</wp:posOffset>
            </wp:positionV>
            <wp:extent cx="14916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900" w:right="8980" w:firstLine="6"/>
        <w:spacing w:after="0" w:line="511" w:lineRule="auto"/>
        <w:tabs>
          <w:tab w:leader="none" w:pos="1195"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13d-1(b) Rule 13d-1(c) Rule 13d-1(d)</w:t>
      </w:r>
    </w:p>
    <w:p>
      <w:pPr>
        <w:ind w:left="220" w:right="180" w:hanging="216"/>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191770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11"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38046W105</w:t>
      </w:r>
    </w:p>
    <w:p>
      <w:pPr>
        <w:spacing w:after="0" w:line="129"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40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top w:val="single" w:sz="8" w:color="auto"/>
              <w:right w:val="single" w:sz="8" w:color="auto"/>
            </w:tcBorders>
          </w:tcPr>
          <w:p>
            <w:pPr>
              <w:spacing w:after="0"/>
              <w:rPr>
                <w:sz w:val="21"/>
                <w:szCs w:val="21"/>
                <w:color w:val="auto"/>
              </w:rPr>
            </w:pPr>
          </w:p>
        </w:tc>
        <w:tc>
          <w:tcPr>
            <w:tcW w:w="10800" w:type="dxa"/>
            <w:vAlign w:val="bottom"/>
            <w:tcBorders>
              <w:top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8"/>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800" w:type="dxa"/>
            <w:vAlign w:val="bottom"/>
            <w:tcBorders>
              <w:bottom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Harris Associates L.P.</w:t>
            </w: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48"/>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w:t>
            </w:r>
          </w:p>
        </w:tc>
        <w:tc>
          <w:tcPr>
            <w:tcW w:w="3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w w:val="95"/>
              </w:rPr>
              <w:t>(b)</w:t>
            </w: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400" w:type="dxa"/>
            <w:vAlign w:val="bottom"/>
            <w:tcBorders>
              <w:left w:val="single" w:sz="8" w:color="auto"/>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080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Borders>
              <w:right w:val="single" w:sz="8" w:color="auto"/>
            </w:tcBorders>
          </w:tcPr>
          <w:p>
            <w:pPr>
              <w:spacing w:after="0"/>
              <w:rPr>
                <w:sz w:val="19"/>
                <w:szCs w:val="19"/>
                <w:color w:val="auto"/>
              </w:rPr>
            </w:pPr>
          </w:p>
        </w:tc>
        <w:tc>
          <w:tcPr>
            <w:tcW w:w="1080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c>
          <w:tcPr>
            <w:tcW w:w="9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74"/>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Number of</w:t>
            </w:r>
          </w:p>
        </w:tc>
        <w:tc>
          <w:tcPr>
            <w:tcW w:w="28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97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6,222,100</w:t>
            </w:r>
          </w:p>
        </w:tc>
        <w:tc>
          <w:tcPr>
            <w:tcW w:w="0" w:type="dxa"/>
            <w:vAlign w:val="bottom"/>
          </w:tcPr>
          <w:p>
            <w:pPr>
              <w:spacing w:after="0"/>
              <w:rPr>
                <w:sz w:val="1"/>
                <w:szCs w:val="1"/>
                <w:color w:val="auto"/>
              </w:rPr>
            </w:pPr>
          </w:p>
        </w:tc>
      </w:tr>
      <w:tr>
        <w:trPr>
          <w:trHeight w:val="180"/>
        </w:trPr>
        <w:tc>
          <w:tcPr>
            <w:tcW w:w="400" w:type="dxa"/>
            <w:vAlign w:val="bottom"/>
            <w:tcBorders>
              <w:left w:val="single" w:sz="8" w:color="auto"/>
            </w:tcBorders>
          </w:tcPr>
          <w:p>
            <w:pPr>
              <w:spacing w:after="0"/>
              <w:rPr>
                <w:sz w:val="15"/>
                <w:szCs w:val="15"/>
                <w:color w:val="auto"/>
              </w:rPr>
            </w:pPr>
          </w:p>
        </w:tc>
        <w:tc>
          <w:tcPr>
            <w:tcW w:w="740" w:type="dxa"/>
            <w:vAlign w:val="bottom"/>
            <w:tcBorders>
              <w:right w:val="single" w:sz="8" w:color="auto"/>
            </w:tcBorders>
            <w:gridSpan w:val="2"/>
          </w:tcPr>
          <w:p>
            <w:pPr>
              <w:jc w:val="center"/>
              <w:ind w:right="170"/>
              <w:spacing w:after="0" w:line="160" w:lineRule="exact"/>
              <w:rPr>
                <w:sz w:val="20"/>
                <w:szCs w:val="20"/>
                <w:color w:val="auto"/>
              </w:rPr>
            </w:pPr>
            <w:r>
              <w:rPr>
                <w:rFonts w:ascii="Times New Roman" w:cs="Times New Roman" w:eastAsia="Times New Roman" w:hAnsi="Times New Roman"/>
                <w:sz w:val="18"/>
                <w:szCs w:val="18"/>
                <w:color w:val="auto"/>
                <w:w w:val="99"/>
              </w:rPr>
              <w:t>Shares</w:t>
            </w:r>
          </w:p>
        </w:tc>
        <w:tc>
          <w:tcPr>
            <w:tcW w:w="28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76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Beneficially</w:t>
            </w:r>
          </w:p>
        </w:tc>
        <w:tc>
          <w:tcPr>
            <w:tcW w:w="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0"/>
                <w:szCs w:val="20"/>
                <w:color w:val="auto"/>
              </w:rPr>
            </w:pPr>
          </w:p>
        </w:tc>
        <w:tc>
          <w:tcPr>
            <w:tcW w:w="9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Owned by</w:t>
            </w:r>
          </w:p>
        </w:tc>
        <w:tc>
          <w:tcPr>
            <w:tcW w:w="28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7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00" w:type="dxa"/>
            <w:vAlign w:val="bottom"/>
            <w:tcBorders>
              <w:lef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Borders>
              <w:right w:val="single" w:sz="8" w:color="auto"/>
            </w:tcBorders>
          </w:tcPr>
          <w:p>
            <w:pPr>
              <w:jc w:val="center"/>
              <w:ind w:right="230"/>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280" w:type="dxa"/>
            <w:vAlign w:val="bottom"/>
            <w:tcBorders>
              <w:right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5"/>
                <w:szCs w:val="15"/>
                <w:color w:val="auto"/>
              </w:rPr>
            </w:pPr>
          </w:p>
        </w:tc>
        <w:tc>
          <w:tcPr>
            <w:tcW w:w="9760" w:type="dxa"/>
            <w:vAlign w:val="bottom"/>
            <w:tcBorders>
              <w:right w:val="single" w:sz="8" w:color="auto"/>
            </w:tcBorders>
          </w:tcPr>
          <w:p>
            <w:pPr>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0" w:type="dxa"/>
            <w:vAlign w:val="bottom"/>
            <w:tcBorders>
              <w:left w:val="single" w:sz="8" w:color="auto"/>
            </w:tcBorders>
          </w:tcPr>
          <w:p>
            <w:pPr>
              <w:spacing w:after="0"/>
              <w:rPr>
                <w:sz w:val="19"/>
                <w:szCs w:val="19"/>
                <w:color w:val="auto"/>
              </w:rPr>
            </w:pPr>
          </w:p>
        </w:tc>
        <w:tc>
          <w:tcPr>
            <w:tcW w:w="740" w:type="dxa"/>
            <w:vAlign w:val="bottom"/>
            <w:tcBorders>
              <w:right w:val="single" w:sz="8" w:color="auto"/>
            </w:tcBorders>
            <w:gridSpan w:val="2"/>
          </w:tcPr>
          <w:p>
            <w:pPr>
              <w:jc w:val="center"/>
              <w:ind w:right="170"/>
              <w:spacing w:after="0"/>
              <w:rPr>
                <w:sz w:val="20"/>
                <w:szCs w:val="20"/>
                <w:color w:val="auto"/>
              </w:rPr>
            </w:pPr>
            <w:r>
              <w:rPr>
                <w:rFonts w:ascii="Times New Roman" w:cs="Times New Roman" w:eastAsia="Times New Roman" w:hAnsi="Times New Roman"/>
                <w:sz w:val="18"/>
                <w:szCs w:val="18"/>
                <w:color w:val="auto"/>
                <w:w w:val="97"/>
              </w:rPr>
              <w:t>Person</w:t>
            </w:r>
          </w:p>
        </w:tc>
        <w:tc>
          <w:tcPr>
            <w:tcW w:w="2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6,222,100</w:t>
            </w:r>
          </w:p>
        </w:tc>
        <w:tc>
          <w:tcPr>
            <w:tcW w:w="0" w:type="dxa"/>
            <w:vAlign w:val="bottom"/>
          </w:tcPr>
          <w:p>
            <w:pPr>
              <w:spacing w:after="0"/>
              <w:rPr>
                <w:sz w:val="1"/>
                <w:szCs w:val="1"/>
                <w:color w:val="auto"/>
              </w:rPr>
            </w:pPr>
          </w:p>
        </w:tc>
      </w:tr>
      <w:tr>
        <w:trPr>
          <w:trHeight w:val="68"/>
        </w:trPr>
        <w:tc>
          <w:tcPr>
            <w:tcW w:w="400" w:type="dxa"/>
            <w:vAlign w:val="bottom"/>
            <w:tcBorders>
              <w:left w:val="single" w:sz="8" w:color="auto"/>
            </w:tcBorders>
          </w:tcPr>
          <w:p>
            <w:pPr>
              <w:spacing w:after="0"/>
              <w:rPr>
                <w:sz w:val="5"/>
                <w:szCs w:val="5"/>
                <w:color w:val="auto"/>
              </w:rPr>
            </w:pPr>
          </w:p>
        </w:tc>
        <w:tc>
          <w:tcPr>
            <w:tcW w:w="740" w:type="dxa"/>
            <w:vAlign w:val="bottom"/>
            <w:tcBorders>
              <w:right w:val="single" w:sz="8" w:color="auto"/>
            </w:tcBorders>
            <w:gridSpan w:val="2"/>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w w:val="97"/>
              </w:rPr>
              <w:t>With:</w:t>
            </w:r>
          </w:p>
        </w:tc>
        <w:tc>
          <w:tcPr>
            <w:tcW w:w="2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7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00" w:type="dxa"/>
            <w:vAlign w:val="bottom"/>
            <w:tcBorders>
              <w:left w:val="single" w:sz="8" w:color="auto"/>
            </w:tcBorders>
          </w:tcPr>
          <w:p>
            <w:pPr>
              <w:spacing w:after="0"/>
              <w:rPr>
                <w:sz w:val="12"/>
                <w:szCs w:val="12"/>
                <w:color w:val="auto"/>
              </w:rPr>
            </w:pPr>
          </w:p>
        </w:tc>
        <w:tc>
          <w:tcPr>
            <w:tcW w:w="740" w:type="dxa"/>
            <w:vAlign w:val="bottom"/>
            <w:tcBorders>
              <w:right w:val="single" w:sz="8" w:color="auto"/>
            </w:tcBorders>
            <w:gridSpan w:val="2"/>
            <w:vMerge w:val="continue"/>
          </w:tcPr>
          <w:p>
            <w:pPr>
              <w:spacing w:after="0"/>
              <w:rPr>
                <w:sz w:val="12"/>
                <w:szCs w:val="12"/>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2"/>
                <w:szCs w:val="12"/>
                <w:color w:val="auto"/>
              </w:rPr>
            </w:pPr>
          </w:p>
        </w:tc>
        <w:tc>
          <w:tcPr>
            <w:tcW w:w="97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400" w:type="dxa"/>
            <w:vAlign w:val="bottom"/>
            <w:tcBorders>
              <w:lef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400" w:type="dxa"/>
            <w:vAlign w:val="bottom"/>
            <w:tcBorders>
              <w:left w:val="single" w:sz="8" w:color="auto"/>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984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Borders>
              <w:right w:val="single" w:sz="8" w:color="auto"/>
            </w:tcBorders>
          </w:tcPr>
          <w:p>
            <w:pPr>
              <w:spacing w:after="0"/>
              <w:rPr>
                <w:sz w:val="19"/>
                <w:szCs w:val="19"/>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Aggregate</w:t>
            </w:r>
          </w:p>
        </w:tc>
        <w:tc>
          <w:tcPr>
            <w:tcW w:w="9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6,222,100</w:t>
            </w:r>
          </w:p>
        </w:tc>
        <w:tc>
          <w:tcPr>
            <w:tcW w:w="8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38"/>
        </w:trPr>
        <w:tc>
          <w:tcPr>
            <w:tcW w:w="460" w:type="dxa"/>
            <w:vAlign w:val="bottom"/>
            <w:tcBorders>
              <w:left w:val="single" w:sz="8" w:color="auto"/>
              <w:bottom w:val="single" w:sz="8" w:color="auto"/>
              <w:right w:val="single" w:sz="8" w:color="auto"/>
            </w:tcBorders>
            <w:gridSpan w:val="2"/>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4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80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48"/>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48"/>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IA</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CUSIP No. 38046W105</w:t>
            </w:r>
          </w:p>
        </w:tc>
        <w:tc>
          <w:tcPr>
            <w:tcW w:w="0" w:type="dxa"/>
            <w:vAlign w:val="bottom"/>
          </w:tcPr>
          <w:p>
            <w:pPr>
              <w:spacing w:after="0"/>
              <w:rPr>
                <w:sz w:val="1"/>
                <w:szCs w:val="1"/>
                <w:color w:val="auto"/>
              </w:rPr>
            </w:pPr>
          </w:p>
        </w:tc>
      </w:tr>
      <w:tr>
        <w:trPr>
          <w:trHeight w:val="121"/>
        </w:trPr>
        <w:tc>
          <w:tcPr>
            <w:tcW w:w="4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800" w:type="dxa"/>
            <w:vAlign w:val="bottom"/>
            <w:tcBorders>
              <w:bottom w:val="single" w:sz="8" w:color="auto"/>
            </w:tcBorders>
            <w:gridSpan w:val="4"/>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right w:val="single" w:sz="8" w:color="auto"/>
            </w:tcBorders>
          </w:tcPr>
          <w:p>
            <w:pPr>
              <w:spacing w:after="0"/>
              <w:rPr>
                <w:sz w:val="19"/>
                <w:szCs w:val="19"/>
                <w:color w:val="auto"/>
              </w:rPr>
            </w:pPr>
          </w:p>
        </w:tc>
        <w:tc>
          <w:tcPr>
            <w:tcW w:w="1080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8"/>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800" w:type="dxa"/>
            <w:vAlign w:val="bottom"/>
            <w:tcBorders>
              <w:bottom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Harris Associates Inc.</w:t>
            </w: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48"/>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w:t>
            </w:r>
          </w:p>
        </w:tc>
        <w:tc>
          <w:tcPr>
            <w:tcW w:w="3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w w:val="95"/>
              </w:rPr>
              <w:t>(b)</w:t>
            </w: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400" w:type="dxa"/>
            <w:vAlign w:val="bottom"/>
            <w:tcBorders>
              <w:left w:val="single" w:sz="8" w:color="auto"/>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080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Borders>
              <w:right w:val="single" w:sz="8" w:color="auto"/>
            </w:tcBorders>
          </w:tcPr>
          <w:p>
            <w:pPr>
              <w:spacing w:after="0"/>
              <w:rPr>
                <w:sz w:val="19"/>
                <w:szCs w:val="19"/>
                <w:color w:val="auto"/>
              </w:rPr>
            </w:pPr>
          </w:p>
        </w:tc>
        <w:tc>
          <w:tcPr>
            <w:tcW w:w="1080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c>
          <w:tcPr>
            <w:tcW w:w="9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74"/>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Number of</w:t>
            </w:r>
          </w:p>
        </w:tc>
        <w:tc>
          <w:tcPr>
            <w:tcW w:w="28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97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6,222,100</w:t>
            </w:r>
          </w:p>
        </w:tc>
        <w:tc>
          <w:tcPr>
            <w:tcW w:w="0" w:type="dxa"/>
            <w:vAlign w:val="bottom"/>
          </w:tcPr>
          <w:p>
            <w:pPr>
              <w:spacing w:after="0"/>
              <w:rPr>
                <w:sz w:val="1"/>
                <w:szCs w:val="1"/>
                <w:color w:val="auto"/>
              </w:rPr>
            </w:pPr>
          </w:p>
        </w:tc>
      </w:tr>
      <w:tr>
        <w:trPr>
          <w:trHeight w:val="180"/>
        </w:trPr>
        <w:tc>
          <w:tcPr>
            <w:tcW w:w="400" w:type="dxa"/>
            <w:vAlign w:val="bottom"/>
            <w:tcBorders>
              <w:left w:val="single" w:sz="8" w:color="auto"/>
            </w:tcBorders>
          </w:tcPr>
          <w:p>
            <w:pPr>
              <w:spacing w:after="0"/>
              <w:rPr>
                <w:sz w:val="15"/>
                <w:szCs w:val="15"/>
                <w:color w:val="auto"/>
              </w:rPr>
            </w:pPr>
          </w:p>
        </w:tc>
        <w:tc>
          <w:tcPr>
            <w:tcW w:w="740" w:type="dxa"/>
            <w:vAlign w:val="bottom"/>
            <w:tcBorders>
              <w:right w:val="single" w:sz="8" w:color="auto"/>
            </w:tcBorders>
            <w:gridSpan w:val="2"/>
          </w:tcPr>
          <w:p>
            <w:pPr>
              <w:jc w:val="center"/>
              <w:ind w:right="170"/>
              <w:spacing w:after="0" w:line="160" w:lineRule="exact"/>
              <w:rPr>
                <w:sz w:val="20"/>
                <w:szCs w:val="20"/>
                <w:color w:val="auto"/>
              </w:rPr>
            </w:pPr>
            <w:r>
              <w:rPr>
                <w:rFonts w:ascii="Times New Roman" w:cs="Times New Roman" w:eastAsia="Times New Roman" w:hAnsi="Times New Roman"/>
                <w:sz w:val="18"/>
                <w:szCs w:val="18"/>
                <w:color w:val="auto"/>
                <w:w w:val="99"/>
              </w:rPr>
              <w:t>Shares</w:t>
            </w:r>
          </w:p>
        </w:tc>
        <w:tc>
          <w:tcPr>
            <w:tcW w:w="28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76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Beneficially</w:t>
            </w:r>
          </w:p>
        </w:tc>
        <w:tc>
          <w:tcPr>
            <w:tcW w:w="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0"/>
                <w:szCs w:val="20"/>
                <w:color w:val="auto"/>
              </w:rPr>
            </w:pPr>
          </w:p>
        </w:tc>
        <w:tc>
          <w:tcPr>
            <w:tcW w:w="9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Owned by</w:t>
            </w:r>
          </w:p>
        </w:tc>
        <w:tc>
          <w:tcPr>
            <w:tcW w:w="28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7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00" w:type="dxa"/>
            <w:vAlign w:val="bottom"/>
            <w:tcBorders>
              <w:lef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Borders>
              <w:right w:val="single" w:sz="8" w:color="auto"/>
            </w:tcBorders>
          </w:tcPr>
          <w:p>
            <w:pPr>
              <w:jc w:val="center"/>
              <w:ind w:right="230"/>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280" w:type="dxa"/>
            <w:vAlign w:val="bottom"/>
            <w:tcBorders>
              <w:right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5"/>
                <w:szCs w:val="15"/>
                <w:color w:val="auto"/>
              </w:rPr>
            </w:pPr>
          </w:p>
        </w:tc>
        <w:tc>
          <w:tcPr>
            <w:tcW w:w="9760" w:type="dxa"/>
            <w:vAlign w:val="bottom"/>
            <w:tcBorders>
              <w:right w:val="single" w:sz="8" w:color="auto"/>
            </w:tcBorders>
          </w:tcPr>
          <w:p>
            <w:pPr>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0" w:type="dxa"/>
            <w:vAlign w:val="bottom"/>
            <w:tcBorders>
              <w:left w:val="single" w:sz="8" w:color="auto"/>
            </w:tcBorders>
          </w:tcPr>
          <w:p>
            <w:pPr>
              <w:spacing w:after="0"/>
              <w:rPr>
                <w:sz w:val="19"/>
                <w:szCs w:val="19"/>
                <w:color w:val="auto"/>
              </w:rPr>
            </w:pPr>
          </w:p>
        </w:tc>
        <w:tc>
          <w:tcPr>
            <w:tcW w:w="740" w:type="dxa"/>
            <w:vAlign w:val="bottom"/>
            <w:tcBorders>
              <w:right w:val="single" w:sz="8" w:color="auto"/>
            </w:tcBorders>
            <w:gridSpan w:val="2"/>
          </w:tcPr>
          <w:p>
            <w:pPr>
              <w:jc w:val="center"/>
              <w:ind w:right="170"/>
              <w:spacing w:after="0"/>
              <w:rPr>
                <w:sz w:val="20"/>
                <w:szCs w:val="20"/>
                <w:color w:val="auto"/>
              </w:rPr>
            </w:pPr>
            <w:r>
              <w:rPr>
                <w:rFonts w:ascii="Times New Roman" w:cs="Times New Roman" w:eastAsia="Times New Roman" w:hAnsi="Times New Roman"/>
                <w:sz w:val="18"/>
                <w:szCs w:val="18"/>
                <w:color w:val="auto"/>
                <w:w w:val="97"/>
              </w:rPr>
              <w:t>Person</w:t>
            </w:r>
          </w:p>
        </w:tc>
        <w:tc>
          <w:tcPr>
            <w:tcW w:w="2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6,222,100</w:t>
            </w:r>
          </w:p>
        </w:tc>
        <w:tc>
          <w:tcPr>
            <w:tcW w:w="0" w:type="dxa"/>
            <w:vAlign w:val="bottom"/>
          </w:tcPr>
          <w:p>
            <w:pPr>
              <w:spacing w:after="0"/>
              <w:rPr>
                <w:sz w:val="1"/>
                <w:szCs w:val="1"/>
                <w:color w:val="auto"/>
              </w:rPr>
            </w:pPr>
          </w:p>
        </w:tc>
      </w:tr>
      <w:tr>
        <w:trPr>
          <w:trHeight w:val="68"/>
        </w:trPr>
        <w:tc>
          <w:tcPr>
            <w:tcW w:w="400" w:type="dxa"/>
            <w:vAlign w:val="bottom"/>
            <w:tcBorders>
              <w:left w:val="single" w:sz="8" w:color="auto"/>
            </w:tcBorders>
          </w:tcPr>
          <w:p>
            <w:pPr>
              <w:spacing w:after="0"/>
              <w:rPr>
                <w:sz w:val="5"/>
                <w:szCs w:val="5"/>
                <w:color w:val="auto"/>
              </w:rPr>
            </w:pPr>
          </w:p>
        </w:tc>
        <w:tc>
          <w:tcPr>
            <w:tcW w:w="740" w:type="dxa"/>
            <w:vAlign w:val="bottom"/>
            <w:tcBorders>
              <w:right w:val="single" w:sz="8" w:color="auto"/>
            </w:tcBorders>
            <w:gridSpan w:val="2"/>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w w:val="97"/>
              </w:rPr>
              <w:t>With:</w:t>
            </w:r>
          </w:p>
        </w:tc>
        <w:tc>
          <w:tcPr>
            <w:tcW w:w="2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7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00" w:type="dxa"/>
            <w:vAlign w:val="bottom"/>
            <w:tcBorders>
              <w:left w:val="single" w:sz="8" w:color="auto"/>
            </w:tcBorders>
          </w:tcPr>
          <w:p>
            <w:pPr>
              <w:spacing w:after="0"/>
              <w:rPr>
                <w:sz w:val="12"/>
                <w:szCs w:val="12"/>
                <w:color w:val="auto"/>
              </w:rPr>
            </w:pPr>
          </w:p>
        </w:tc>
        <w:tc>
          <w:tcPr>
            <w:tcW w:w="740" w:type="dxa"/>
            <w:vAlign w:val="bottom"/>
            <w:tcBorders>
              <w:right w:val="single" w:sz="8" w:color="auto"/>
            </w:tcBorders>
            <w:gridSpan w:val="2"/>
            <w:vMerge w:val="continue"/>
          </w:tcPr>
          <w:p>
            <w:pPr>
              <w:spacing w:after="0"/>
              <w:rPr>
                <w:sz w:val="12"/>
                <w:szCs w:val="12"/>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2"/>
                <w:szCs w:val="12"/>
                <w:color w:val="auto"/>
              </w:rPr>
            </w:pPr>
          </w:p>
        </w:tc>
        <w:tc>
          <w:tcPr>
            <w:tcW w:w="97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400" w:type="dxa"/>
            <w:vAlign w:val="bottom"/>
            <w:tcBorders>
              <w:lef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400" w:type="dxa"/>
            <w:vAlign w:val="bottom"/>
            <w:tcBorders>
              <w:left w:val="single" w:sz="8" w:color="auto"/>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984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Borders>
              <w:right w:val="single" w:sz="8" w:color="auto"/>
            </w:tcBorders>
          </w:tcPr>
          <w:p>
            <w:pPr>
              <w:spacing w:after="0"/>
              <w:rPr>
                <w:sz w:val="19"/>
                <w:szCs w:val="19"/>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Aggregate</w:t>
            </w:r>
          </w:p>
        </w:tc>
        <w:tc>
          <w:tcPr>
            <w:tcW w:w="9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6,222,100</w:t>
            </w:r>
          </w:p>
        </w:tc>
        <w:tc>
          <w:tcPr>
            <w:tcW w:w="8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38"/>
        </w:trPr>
        <w:tc>
          <w:tcPr>
            <w:tcW w:w="460" w:type="dxa"/>
            <w:vAlign w:val="bottom"/>
            <w:tcBorders>
              <w:left w:val="single" w:sz="8" w:color="auto"/>
              <w:bottom w:val="single" w:sz="8" w:color="auto"/>
              <w:right w:val="single" w:sz="8" w:color="auto"/>
            </w:tcBorders>
            <w:gridSpan w:val="2"/>
          </w:tcPr>
          <w:p>
            <w:pPr>
              <w:spacing w:after="0"/>
              <w:rPr>
                <w:sz w:val="20"/>
                <w:szCs w:val="20"/>
                <w:color w:val="auto"/>
              </w:rPr>
            </w:pPr>
          </w:p>
        </w:tc>
        <w:tc>
          <w:tcPr>
            <w:tcW w:w="1080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80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48"/>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48"/>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91" w:right="319" w:bottom="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w:t>
      </w:r>
    </w:p>
    <w:p>
      <w:pPr>
        <w:spacing w:after="0" w:line="131" w:lineRule="exact"/>
        <w:rPr>
          <w:sz w:val="20"/>
          <w:szCs w:val="20"/>
          <w:color w:val="auto"/>
        </w:rPr>
      </w:pPr>
    </w:p>
    <w:p>
      <w:pPr>
        <w:ind w:left="900" w:hanging="447"/>
        <w:spacing w:after="0"/>
        <w:tabs>
          <w:tab w:leader="none" w:pos="9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 of Issuer</w:t>
      </w:r>
    </w:p>
    <w:p>
      <w:pPr>
        <w:spacing w:after="0" w:line="121" w:lineRule="exact"/>
        <w:rPr>
          <w:rFonts w:ascii="Times New Roman" w:cs="Times New Roman" w:eastAsia="Times New Roman" w:hAnsi="Times New Roman"/>
          <w:sz w:val="18"/>
          <w:szCs w:val="18"/>
          <w:b w:val="1"/>
          <w:bCs w:val="1"/>
          <w:color w:val="auto"/>
        </w:rPr>
      </w:pPr>
    </w:p>
    <w:p>
      <w:pPr>
        <w:ind w:left="9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GOHEALTH INC</w:t>
      </w:r>
    </w:p>
    <w:p>
      <w:pPr>
        <w:spacing w:after="0" w:line="126" w:lineRule="exact"/>
        <w:rPr>
          <w:rFonts w:ascii="Times New Roman" w:cs="Times New Roman" w:eastAsia="Times New Roman" w:hAnsi="Times New Roman"/>
          <w:sz w:val="18"/>
          <w:szCs w:val="18"/>
          <w:b w:val="1"/>
          <w:bCs w:val="1"/>
          <w:color w:val="auto"/>
        </w:rPr>
      </w:pPr>
    </w:p>
    <w:p>
      <w:pPr>
        <w:ind w:left="900" w:right="5659" w:hanging="447"/>
        <w:spacing w:after="0" w:line="450" w:lineRule="auto"/>
        <w:tabs>
          <w:tab w:leader="none" w:pos="893"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Address of Issuer's Principal Executive Offices </w:t>
      </w:r>
      <w:r>
        <w:rPr>
          <w:rFonts w:ascii="Times New Roman" w:cs="Times New Roman" w:eastAsia="Times New Roman" w:hAnsi="Times New Roman"/>
          <w:sz w:val="17"/>
          <w:szCs w:val="17"/>
          <w:color w:val="auto"/>
        </w:rPr>
        <w:t>214 West Huron St, Chicago, Illinois 60654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131" w:lineRule="exact"/>
        <w:rPr>
          <w:sz w:val="20"/>
          <w:szCs w:val="20"/>
          <w:color w:val="auto"/>
        </w:rPr>
      </w:pPr>
    </w:p>
    <w:p>
      <w:pPr>
        <w:ind w:left="900" w:hanging="447"/>
        <w:spacing w:after="0"/>
        <w:tabs>
          <w:tab w:leader="none" w:pos="9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 of Person Filing</w:t>
      </w:r>
    </w:p>
    <w:p>
      <w:pPr>
        <w:spacing w:after="0" w:line="18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Harris Associates L.P. ("Harris")</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Harris Associates Inc. ("General Partner")</w:t>
      </w:r>
    </w:p>
    <w:p>
      <w:pPr>
        <w:spacing w:after="0" w:line="108" w:lineRule="exact"/>
        <w:rPr>
          <w:sz w:val="20"/>
          <w:szCs w:val="20"/>
          <w:color w:val="auto"/>
        </w:rPr>
      </w:pPr>
    </w:p>
    <w:p>
      <w:pPr>
        <w:jc w:val="both"/>
        <w:ind w:left="900" w:right="4779" w:hanging="447"/>
        <w:spacing w:after="0" w:line="406" w:lineRule="auto"/>
        <w:tabs>
          <w:tab w:leader="none" w:pos="893"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Address of Principal Business Office or, if none, Residence </w:t>
      </w:r>
      <w:r>
        <w:rPr>
          <w:rFonts w:ascii="Times New Roman" w:cs="Times New Roman" w:eastAsia="Times New Roman" w:hAnsi="Times New Roman"/>
          <w:sz w:val="17"/>
          <w:szCs w:val="17"/>
          <w:color w:val="auto"/>
        </w:rPr>
        <w:t>111 South Wacker Drive Suite 4600, Chicago, Illinois, 60606</w:t>
      </w:r>
    </w:p>
    <w:p>
      <w:pPr>
        <w:ind w:left="900" w:hanging="447"/>
        <w:spacing w:after="0"/>
        <w:tabs>
          <w:tab w:leader="none" w:pos="9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Citizenship</w:t>
      </w:r>
    </w:p>
    <w:p>
      <w:pPr>
        <w:spacing w:after="0" w:line="121" w:lineRule="exact"/>
        <w:rPr>
          <w:rFonts w:ascii="Times New Roman" w:cs="Times New Roman" w:eastAsia="Times New Roman" w:hAnsi="Times New Roman"/>
          <w:sz w:val="18"/>
          <w:szCs w:val="18"/>
          <w:b w:val="1"/>
          <w:bCs w:val="1"/>
          <w:color w:val="auto"/>
        </w:rPr>
      </w:pPr>
    </w:p>
    <w:p>
      <w:pPr>
        <w:ind w:left="9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See Item 4 on the cover page(s) hereto.</w:t>
      </w:r>
    </w:p>
    <w:p>
      <w:pPr>
        <w:spacing w:after="0" w:line="126" w:lineRule="exact"/>
        <w:rPr>
          <w:rFonts w:ascii="Times New Roman" w:cs="Times New Roman" w:eastAsia="Times New Roman" w:hAnsi="Times New Roman"/>
          <w:sz w:val="18"/>
          <w:szCs w:val="18"/>
          <w:b w:val="1"/>
          <w:bCs w:val="1"/>
          <w:color w:val="auto"/>
        </w:rPr>
      </w:pPr>
    </w:p>
    <w:p>
      <w:pPr>
        <w:ind w:left="900" w:right="7239" w:hanging="447"/>
        <w:spacing w:after="0" w:line="383" w:lineRule="auto"/>
        <w:tabs>
          <w:tab w:leader="none" w:pos="893"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Title of Class of Securities </w:t>
      </w:r>
      <w:r>
        <w:rPr>
          <w:rFonts w:ascii="Times New Roman" w:cs="Times New Roman" w:eastAsia="Times New Roman" w:hAnsi="Times New Roman"/>
          <w:sz w:val="18"/>
          <w:szCs w:val="18"/>
          <w:color w:val="auto"/>
        </w:rPr>
        <w:t>Class A Common Stock</w:t>
      </w:r>
    </w:p>
    <w:p>
      <w:pPr>
        <w:ind w:left="900" w:right="8019" w:hanging="447"/>
        <w:spacing w:after="0" w:line="412" w:lineRule="auto"/>
        <w:tabs>
          <w:tab w:leader="none" w:pos="893"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CUSIP Number </w:t>
      </w:r>
      <w:r>
        <w:rPr>
          <w:rFonts w:ascii="Times New Roman" w:cs="Times New Roman" w:eastAsia="Times New Roman" w:hAnsi="Times New Roman"/>
          <w:sz w:val="18"/>
          <w:szCs w:val="18"/>
          <w:color w:val="auto"/>
        </w:rPr>
        <w:t>38046W105</w:t>
      </w:r>
    </w:p>
    <w:p>
      <w:pPr>
        <w:sectPr>
          <w:pgSz w:w="11900" w:h="16838" w:orient="portrait"/>
          <w:cols w:equalWidth="0" w:num="1">
            <w:col w:w="10139"/>
          </w:cols>
          <w:pgMar w:left="320" w:top="266"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3. If this statement is filed pursuant to §§240.13d-1(b) or 240.13d-2(b) or (c), check whether the person filing is:</w:t>
      </w:r>
    </w:p>
    <w:p>
      <w:pPr>
        <w:spacing w:after="0" w:line="135" w:lineRule="exact"/>
        <w:rPr>
          <w:sz w:val="20"/>
          <w:szCs w:val="20"/>
          <w:color w:val="auto"/>
        </w:rPr>
      </w:pPr>
    </w:p>
    <w:p>
      <w:pPr>
        <w:ind w:left="1080" w:hanging="735"/>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Broker or dealer registered under Section 15 of the Act (15 U.S.C. 78o);</w:t>
      </w:r>
    </w:p>
    <w:p>
      <w:pPr>
        <w:spacing w:after="0" w:line="117" w:lineRule="exact"/>
        <w:rPr>
          <w:rFonts w:ascii="Times New Roman" w:cs="Times New Roman" w:eastAsia="Times New Roman" w:hAnsi="Times New Roman"/>
          <w:sz w:val="18"/>
          <w:szCs w:val="18"/>
          <w:color w:val="auto"/>
        </w:rPr>
      </w:pPr>
    </w:p>
    <w:p>
      <w:pPr>
        <w:ind w:left="1080" w:hanging="735"/>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 as defined in Section 3(a)(6) of the Act (15 U.S.C. 78c);</w:t>
      </w:r>
    </w:p>
    <w:p>
      <w:pPr>
        <w:spacing w:after="0" w:line="117" w:lineRule="exact"/>
        <w:rPr>
          <w:rFonts w:ascii="Times New Roman" w:cs="Times New Roman" w:eastAsia="Times New Roman" w:hAnsi="Times New Roman"/>
          <w:sz w:val="18"/>
          <w:szCs w:val="18"/>
          <w:color w:val="auto"/>
        </w:rPr>
      </w:pPr>
    </w:p>
    <w:p>
      <w:pPr>
        <w:ind w:left="1080" w:hanging="735"/>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insurance company as defined in Section 3(a)(19) of the Act (15 U.S.C. 78c);</w:t>
      </w:r>
    </w:p>
    <w:p>
      <w:pPr>
        <w:spacing w:after="0" w:line="117" w:lineRule="exact"/>
        <w:rPr>
          <w:rFonts w:ascii="Times New Roman" w:cs="Times New Roman" w:eastAsia="Times New Roman" w:hAnsi="Times New Roman"/>
          <w:sz w:val="18"/>
          <w:szCs w:val="18"/>
          <w:color w:val="auto"/>
        </w:rPr>
      </w:pPr>
    </w:p>
    <w:p>
      <w:pPr>
        <w:ind w:left="1080" w:hanging="735"/>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company registered under Section 8 of the Investment Company Act of 1940 (15 U.S.C. 80a-8);</w:t>
      </w:r>
    </w:p>
    <w:p>
      <w:pPr>
        <w:spacing w:after="0" w:line="117" w:lineRule="exact"/>
        <w:rPr>
          <w:rFonts w:ascii="Times New Roman" w:cs="Times New Roman" w:eastAsia="Times New Roman" w:hAnsi="Times New Roman"/>
          <w:sz w:val="18"/>
          <w:szCs w:val="18"/>
          <w:color w:val="auto"/>
        </w:rPr>
      </w:pPr>
    </w:p>
    <w:p>
      <w:pPr>
        <w:ind w:left="860" w:hanging="515"/>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An investment adviser in accordance with §240.13d-1(b)(1)(ii)(E);</w:t>
      </w:r>
    </w:p>
    <w:p>
      <w:pPr>
        <w:spacing w:after="0" w:line="117" w:lineRule="exact"/>
        <w:rPr>
          <w:rFonts w:ascii="Times New Roman" w:cs="Times New Roman" w:eastAsia="Times New Roman" w:hAnsi="Times New Roman"/>
          <w:sz w:val="18"/>
          <w:szCs w:val="18"/>
          <w:color w:val="auto"/>
        </w:rPr>
      </w:pPr>
    </w:p>
    <w:p>
      <w:pPr>
        <w:ind w:left="1080" w:hanging="735"/>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 benefit plan or endowment fund in accordance with §240.13d-1(b)(1)(ii)(F);</w:t>
      </w:r>
    </w:p>
    <w:p>
      <w:pPr>
        <w:spacing w:after="0" w:line="117" w:lineRule="exact"/>
        <w:rPr>
          <w:rFonts w:ascii="Times New Roman" w:cs="Times New Roman" w:eastAsia="Times New Roman" w:hAnsi="Times New Roman"/>
          <w:sz w:val="18"/>
          <w:szCs w:val="18"/>
          <w:color w:val="auto"/>
        </w:rPr>
      </w:pPr>
    </w:p>
    <w:p>
      <w:pPr>
        <w:ind w:left="1080" w:hanging="735"/>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parent holding company or control person in accordance with §240.13d-1(b)(1)(ii)(G);</w:t>
      </w:r>
    </w:p>
    <w:p>
      <w:pPr>
        <w:spacing w:after="0" w:line="117" w:lineRule="exact"/>
        <w:rPr>
          <w:rFonts w:ascii="Times New Roman" w:cs="Times New Roman" w:eastAsia="Times New Roman" w:hAnsi="Times New Roman"/>
          <w:sz w:val="18"/>
          <w:szCs w:val="18"/>
          <w:color w:val="auto"/>
        </w:rPr>
      </w:pPr>
    </w:p>
    <w:p>
      <w:pPr>
        <w:ind w:left="1080" w:hanging="735"/>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savings associations as defined in Section 3(b) of the Federal Deposit Insurance Act (12 U.S.C. 1813);</w:t>
      </w:r>
    </w:p>
    <w:p>
      <w:pPr>
        <w:spacing w:after="0" w:line="117" w:lineRule="exact"/>
        <w:rPr>
          <w:rFonts w:ascii="Times New Roman" w:cs="Times New Roman" w:eastAsia="Times New Roman" w:hAnsi="Times New Roman"/>
          <w:sz w:val="18"/>
          <w:szCs w:val="18"/>
          <w:color w:val="auto"/>
        </w:rPr>
      </w:pPr>
    </w:p>
    <w:p>
      <w:pPr>
        <w:ind w:left="1080" w:right="280" w:hanging="735"/>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 1940 (15 U.S.C. 80a-3);</w:t>
      </w:r>
    </w:p>
    <w:p>
      <w:pPr>
        <w:spacing w:after="0" w:line="53" w:lineRule="exact"/>
        <w:rPr>
          <w:rFonts w:ascii="Times New Roman" w:cs="Times New Roman" w:eastAsia="Times New Roman" w:hAnsi="Times New Roman"/>
          <w:sz w:val="18"/>
          <w:szCs w:val="18"/>
          <w:color w:val="auto"/>
        </w:rPr>
      </w:pPr>
    </w:p>
    <w:p>
      <w:pPr>
        <w:ind w:left="1080" w:hanging="735"/>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non-U.S. institution in accordance with §240.13d-1(b)(1)(ii)(J);</w:t>
      </w:r>
    </w:p>
    <w:p>
      <w:pPr>
        <w:spacing w:after="0" w:line="117" w:lineRule="exact"/>
        <w:rPr>
          <w:rFonts w:ascii="Times New Roman" w:cs="Times New Roman" w:eastAsia="Times New Roman" w:hAnsi="Times New Roman"/>
          <w:sz w:val="18"/>
          <w:szCs w:val="18"/>
          <w:color w:val="auto"/>
        </w:rPr>
      </w:pPr>
    </w:p>
    <w:p>
      <w:pPr>
        <w:ind w:left="1080" w:hanging="735"/>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group, in accordance with §240.13d-1(b)(1)(ii)(K).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131" w:lineRule="exact"/>
        <w:rPr>
          <w:sz w:val="20"/>
          <w:szCs w:val="20"/>
          <w:color w:val="auto"/>
        </w:rPr>
      </w:pPr>
    </w:p>
    <w:p>
      <w:pPr>
        <w:ind w:left="900" w:hanging="447"/>
        <w:spacing w:after="0"/>
        <w:tabs>
          <w:tab w:leader="none" w:pos="9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Amount beneficially owned:</w:t>
      </w:r>
    </w:p>
    <w:p>
      <w:pPr>
        <w:spacing w:after="0" w:line="121" w:lineRule="exact"/>
        <w:rPr>
          <w:sz w:val="20"/>
          <w:szCs w:val="20"/>
          <w:color w:val="auto"/>
        </w:rPr>
      </w:pPr>
    </w:p>
    <w:p>
      <w:pPr>
        <w:ind w:firstLine="898"/>
        <w:spacing w:after="0" w:line="261" w:lineRule="auto"/>
        <w:rPr>
          <w:sz w:val="20"/>
          <w:szCs w:val="20"/>
          <w:color w:val="auto"/>
        </w:rPr>
      </w:pPr>
      <w:r>
        <w:rPr>
          <w:rFonts w:ascii="Times New Roman" w:cs="Times New Roman" w:eastAsia="Times New Roman" w:hAnsi="Times New Roman"/>
          <w:sz w:val="18"/>
          <w:szCs w:val="18"/>
          <w:color w:val="auto"/>
        </w:rPr>
        <w:t>By reason of advisory and other relationships with the person who owns the Shares, Harris may be deemed to be the beneficial owner of the shares specified in Item 9 on the cover page(s) hereto. Harris has been granted the power to vote Shares in circumstances it determines to be appropriate in connection with assisting its advised clients to whom it renders financial advice in the ordinary course of business, by either providing information or advice to the persons having such power, or by exercising the power to vote.</w:t>
      </w:r>
    </w:p>
    <w:p>
      <w:pPr>
        <w:spacing w:after="0" w:line="81" w:lineRule="exact"/>
        <w:rPr>
          <w:sz w:val="20"/>
          <w:szCs w:val="20"/>
          <w:color w:val="auto"/>
        </w:rPr>
      </w:pPr>
    </w:p>
    <w:p>
      <w:pPr>
        <w:ind w:left="900" w:hanging="447"/>
        <w:spacing w:after="0"/>
        <w:tabs>
          <w:tab w:leader="none" w:pos="9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w:t>
      </w:r>
    </w:p>
    <w:p>
      <w:pPr>
        <w:spacing w:after="0" w:line="121" w:lineRule="exact"/>
        <w:rPr>
          <w:rFonts w:ascii="Times New Roman" w:cs="Times New Roman" w:eastAsia="Times New Roman" w:hAnsi="Times New Roman"/>
          <w:sz w:val="18"/>
          <w:szCs w:val="18"/>
          <w:b w:val="1"/>
          <w:bCs w:val="1"/>
          <w:color w:val="auto"/>
        </w:rPr>
      </w:pPr>
    </w:p>
    <w:p>
      <w:pPr>
        <w:ind w:left="9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See Item 11 on the cover page(s) hereto.</w:t>
      </w:r>
    </w:p>
    <w:p>
      <w:pPr>
        <w:spacing w:after="0" w:line="126" w:lineRule="exact"/>
        <w:rPr>
          <w:rFonts w:ascii="Times New Roman" w:cs="Times New Roman" w:eastAsia="Times New Roman" w:hAnsi="Times New Roman"/>
          <w:sz w:val="18"/>
          <w:szCs w:val="18"/>
          <w:b w:val="1"/>
          <w:bCs w:val="1"/>
          <w:color w:val="auto"/>
        </w:rPr>
      </w:pPr>
    </w:p>
    <w:p>
      <w:pPr>
        <w:ind w:left="900" w:hanging="447"/>
        <w:spacing w:after="0"/>
        <w:tabs>
          <w:tab w:leader="none" w:pos="9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Number of shares as to which such person has:</w:t>
      </w:r>
    </w:p>
    <w:p>
      <w:pPr>
        <w:spacing w:after="0" w:line="130" w:lineRule="exact"/>
        <w:rPr>
          <w:rFonts w:ascii="Times New Roman" w:cs="Times New Roman" w:eastAsia="Times New Roman" w:hAnsi="Times New Roman"/>
          <w:sz w:val="18"/>
          <w:szCs w:val="18"/>
          <w:b w:val="1"/>
          <w:bCs w:val="1"/>
          <w:color w:val="auto"/>
        </w:rPr>
      </w:pPr>
    </w:p>
    <w:p>
      <w:pPr>
        <w:ind w:left="1460" w:right="6680" w:hanging="561"/>
        <w:spacing w:after="0" w:line="406" w:lineRule="auto"/>
        <w:tabs>
          <w:tab w:leader="none" w:pos="1444" w:val="left"/>
        </w:tabs>
        <w:numPr>
          <w:ilvl w:val="1"/>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Sole power to vote or to direct the vote: </w:t>
      </w:r>
      <w:r>
        <w:rPr>
          <w:rFonts w:ascii="Times New Roman" w:cs="Times New Roman" w:eastAsia="Times New Roman" w:hAnsi="Times New Roman"/>
          <w:sz w:val="17"/>
          <w:szCs w:val="17"/>
          <w:color w:val="auto"/>
        </w:rPr>
        <w:t>See Item 5 on the cover page(s) hereto.</w:t>
      </w:r>
    </w:p>
    <w:p>
      <w:pPr>
        <w:ind w:left="1460" w:right="6440" w:hanging="561"/>
        <w:spacing w:after="0" w:line="383" w:lineRule="auto"/>
        <w:tabs>
          <w:tab w:leader="none" w:pos="1444"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power to vote or to direct the vote: </w:t>
      </w:r>
      <w:r>
        <w:rPr>
          <w:rFonts w:ascii="Times New Roman" w:cs="Times New Roman" w:eastAsia="Times New Roman" w:hAnsi="Times New Roman"/>
          <w:sz w:val="18"/>
          <w:szCs w:val="18"/>
          <w:color w:val="auto"/>
        </w:rPr>
        <w:t>See Item 6 on the cover page(s) hereto.</w:t>
      </w:r>
    </w:p>
    <w:p>
      <w:pPr>
        <w:ind w:left="1460" w:right="5720" w:hanging="561"/>
        <w:spacing w:after="0" w:line="412" w:lineRule="auto"/>
        <w:tabs>
          <w:tab w:leader="none" w:pos="1444"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power to dispose or to direct the disposition of: </w:t>
      </w:r>
      <w:r>
        <w:rPr>
          <w:rFonts w:ascii="Times New Roman" w:cs="Times New Roman" w:eastAsia="Times New Roman" w:hAnsi="Times New Roman"/>
          <w:sz w:val="18"/>
          <w:szCs w:val="18"/>
          <w:color w:val="auto"/>
        </w:rPr>
        <w:t>See Item 7 on the cover page(s) hereto.</w:t>
      </w:r>
    </w:p>
    <w:p>
      <w:pPr>
        <w:sectPr>
          <w:pgSz w:w="11900" w:h="16838" w:orient="portrait"/>
          <w:cols w:equalWidth="0" w:num="1">
            <w:col w:w="11140"/>
          </w:cols>
          <w:pgMar w:left="320" w:top="266" w:right="439" w:bottom="1440" w:gutter="0" w:footer="0" w:header="0"/>
        </w:sectPr>
      </w:pPr>
    </w:p>
    <w:bookmarkStart w:id="4" w:name="page5"/>
    <w:bookmarkEnd w:id="4"/>
    <w:p>
      <w:pPr>
        <w:ind w:left="1460" w:right="5600" w:hanging="561"/>
        <w:spacing w:after="0" w:line="412" w:lineRule="auto"/>
        <w:tabs>
          <w:tab w:leader="none" w:pos="144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Shared power to dispose or to direct the disposition of: </w:t>
      </w:r>
      <w:r>
        <w:rPr>
          <w:rFonts w:ascii="Times New Roman" w:cs="Times New Roman" w:eastAsia="Times New Roman" w:hAnsi="Times New Roman"/>
          <w:sz w:val="18"/>
          <w:szCs w:val="18"/>
          <w:color w:val="auto"/>
        </w:rPr>
        <w:t>See Item 8 on the cover page(s) hereto.</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5% or Less of a Class.</w:t>
      </w:r>
    </w:p>
    <w:p>
      <w:pPr>
        <w:spacing w:after="0" w:line="121" w:lineRule="exact"/>
        <w:rPr>
          <w:sz w:val="20"/>
          <w:szCs w:val="20"/>
          <w:color w:val="auto"/>
        </w:rPr>
      </w:pPr>
    </w:p>
    <w:p>
      <w:pPr>
        <w:ind w:right="300" w:firstLine="898"/>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5 Percent on Behalf of Another Person</w:t>
      </w:r>
    </w:p>
    <w:p>
      <w:pPr>
        <w:spacing w:after="0" w:line="12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5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121" w:lineRule="exact"/>
        <w:rPr>
          <w:sz w:val="20"/>
          <w:szCs w:val="20"/>
          <w:color w:val="auto"/>
        </w:rPr>
      </w:pPr>
    </w:p>
    <w:p>
      <w:pPr>
        <w:ind w:firstLine="898"/>
        <w:spacing w:after="0" w:line="256" w:lineRule="auto"/>
        <w:rPr>
          <w:sz w:val="20"/>
          <w:szCs w:val="20"/>
          <w:color w:val="auto"/>
        </w:rPr>
      </w:pPr>
      <w:r>
        <w:rPr>
          <w:rFonts w:ascii="Times New Roman" w:cs="Times New Roman" w:eastAsia="Times New Roman" w:hAnsi="Times New Roman"/>
          <w:sz w:val="18"/>
          <w:szCs w:val="18"/>
          <w:color w:val="auto"/>
        </w:rPr>
        <w:t>Each reporting person may be deemed to be a member of a group with respect to the issuer or securities of the issuer for the purposes of Section 13(d) or 13(g) of the Act. Each reporting person declares that neither the filing of this statement nor anything herein shall be construed as an admission that such person is, for the purposes of Section 13(d) or 13(g) of the Act or any other purpose, (i) acting (or has agreed or is agreeing to act) with any other person as a partnership, limited partnership, syndicate, or other group for the purpose of acquiring, holding, or disposing of securities of the issuer or otherwise with respect to the issuer or any securities of the issuer or (ii) a member of any syndicate or group with respect to the issuer or any securities of the issuer.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121" w:lineRule="exact"/>
        <w:rPr>
          <w:sz w:val="20"/>
          <w:szCs w:val="20"/>
          <w:color w:val="auto"/>
        </w:rPr>
      </w:pPr>
    </w:p>
    <w:p>
      <w:pPr>
        <w:ind w:firstLine="898"/>
        <w:spacing w:after="0" w:line="256" w:lineRule="auto"/>
        <w:rPr>
          <w:sz w:val="20"/>
          <w:szCs w:val="20"/>
          <w:color w:val="auto"/>
        </w:rPr>
      </w:pPr>
      <w:r>
        <w:rPr>
          <w:rFonts w:ascii="Times New Roman" w:cs="Times New Roman" w:eastAsia="Times New Roman" w:hAnsi="Times New Roman"/>
          <w:sz w:val="18"/>
          <w:szCs w:val="18"/>
          <w:color w:val="auto"/>
        </w:rPr>
        <w:t>Each reporting person may be deemed to be a member of a group with respect to the issuer or securities of the issuer for the purposes of Section 13(d) or 13(g) of the Act. Each reporting person declares that neither the filing of this statement nor anything herein shall be construed as an admission that such person is, for the purposes of Section 13(d) or 13(g) of the Act or any other purpose, (i) acting (or has agreed or is agreeing to act) with any other person as a partnership, limited partnership, syndicate, or other group for the purpose of acquiring, holding, or disposing of securities of the issuer or otherwise with respect to the issuer or any securities of the issuer or (ii) a member of any syndicate or group with respect to the issuer or any securities of the issuer.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Certifications</w:t>
      </w:r>
    </w:p>
    <w:p>
      <w:pPr>
        <w:spacing w:after="0" w:line="121" w:lineRule="exact"/>
        <w:rPr>
          <w:sz w:val="20"/>
          <w:szCs w:val="20"/>
          <w:color w:val="auto"/>
        </w:rPr>
      </w:pPr>
    </w:p>
    <w:p>
      <w:pPr>
        <w:jc w:val="both"/>
        <w:ind w:right="100" w:firstLine="898"/>
        <w:spacing w:after="0" w:line="266" w:lineRule="auto"/>
        <w:rPr>
          <w:sz w:val="20"/>
          <w:szCs w:val="20"/>
          <w:color w:val="auto"/>
        </w:rPr>
      </w:pPr>
      <w:r>
        <w:rPr>
          <w:rFonts w:ascii="Times New Roman" w:cs="Times New Roman" w:eastAsia="Times New Roman" w:hAnsi="Times New Roman"/>
          <w:sz w:val="18"/>
          <w:szCs w:val="18"/>
          <w:color w:val="auto"/>
        </w:rPr>
        <w:t>By signing below each signatory certifies that, to the best of his or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266" w:right="339" w:bottom="1440" w:gutter="0" w:footer="0" w:header="0"/>
        </w:sectPr>
      </w:pPr>
    </w:p>
    <w:bookmarkStart w:id="5" w:name="page6"/>
    <w:bookmarkEnd w:id="5"/>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80" w:firstLine="89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the undersigned certify that the information set forth in this statement is true, complete and correct.</w:t>
      </w:r>
    </w:p>
    <w:p>
      <w:pPr>
        <w:spacing w:after="0" w:line="1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Date: 2022-04-08</w:t>
      </w:r>
    </w:p>
    <w:p>
      <w:pPr>
        <w:spacing w:after="0" w:line="200" w:lineRule="exact"/>
        <w:rPr>
          <w:sz w:val="20"/>
          <w:szCs w:val="20"/>
          <w:color w:val="auto"/>
        </w:rPr>
      </w:pPr>
    </w:p>
    <w:p>
      <w:pPr>
        <w:spacing w:after="0" w:line="26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Harris Associates L.P.</w:t>
      </w:r>
    </w:p>
    <w:p>
      <w:pPr>
        <w:sectPr>
          <w:pgSz w:w="11900" w:h="16838" w:orient="portrait"/>
          <w:cols w:equalWidth="0" w:num="1">
            <w:col w:w="11140"/>
          </w:cols>
          <w:pgMar w:left="320" w:top="266" w:right="439" w:bottom="1440" w:gutter="0" w:footer="0" w:header="0"/>
        </w:sectPr>
      </w:pPr>
    </w:p>
    <w:p>
      <w:pPr>
        <w:spacing w:after="0" w:line="22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Harris Associates L.P.,</w:t>
      </w:r>
    </w:p>
    <w:p>
      <w:pPr>
        <w:spacing w:after="0" w:line="200" w:lineRule="exact"/>
        <w:rPr>
          <w:sz w:val="20"/>
          <w:szCs w:val="20"/>
          <w:color w:val="auto"/>
        </w:rPr>
      </w:pPr>
    </w:p>
    <w:p>
      <w:pPr>
        <w:sectPr>
          <w:pgSz w:w="11900" w:h="16838" w:orient="portrait"/>
          <w:cols w:equalWidth="0" w:num="2">
            <w:col w:w="6000" w:space="300"/>
            <w:col w:w="4840"/>
          </w:cols>
          <w:pgMar w:left="320" w:top="266" w:right="439" w:bottom="1440" w:gutter="0" w:footer="0" w:header="0"/>
          <w:type w:val="continuous"/>
        </w:sectPr>
      </w:pPr>
    </w:p>
    <w:p>
      <w:pPr>
        <w:spacing w:after="0" w:line="200" w:lineRule="exact"/>
        <w:rPr>
          <w:sz w:val="20"/>
          <w:szCs w:val="20"/>
          <w:color w:val="auto"/>
        </w:rPr>
      </w:pPr>
    </w:p>
    <w:p>
      <w:pPr>
        <w:spacing w:after="0" w:line="228"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/s/Rana J. Wright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Rana J. Wright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Administrative Officer, General Counsel and Secretary</w:t>
      </w:r>
    </w:p>
    <w:p>
      <w:pPr>
        <w:spacing w:after="0" w:line="211" w:lineRule="exact"/>
        <w:rPr>
          <w:sz w:val="20"/>
          <w:szCs w:val="20"/>
          <w:color w:val="auto"/>
        </w:rPr>
      </w:pPr>
    </w:p>
    <w:p>
      <w:pPr>
        <w:sectPr>
          <w:pgSz w:w="11900" w:h="16838" w:orient="portrait"/>
          <w:cols w:equalWidth="0" w:num="2">
            <w:col w:w="6180" w:space="120"/>
            <w:col w:w="4840"/>
          </w:cols>
          <w:pgMar w:left="320" w:top="266" w:right="439" w:bottom="1440" w:gutter="0" w:footer="0" w:header="0"/>
          <w:type w:val="continuous"/>
        </w:sectPr>
      </w:pPr>
    </w:p>
    <w:p>
      <w:pPr>
        <w:spacing w:after="0" w:line="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**Harris Associates Inc., for itself and as General Partner of Harris</w:t>
      </w:r>
    </w:p>
    <w:p>
      <w:pPr>
        <w:spacing w:after="0" w:line="2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Associates L.P</w:t>
      </w:r>
    </w:p>
    <w:sectPr>
      <w:pgSz w:w="11900" w:h="16838" w:orient="portrait"/>
      <w:cols w:equalWidth="0" w:num="1">
        <w:col w:w="11140"/>
      </w:cols>
      <w:pgMar w:left="320" w:top="266"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lvl w:ilvl="1">
      <w:lvlJc w:val="left"/>
      <w:lvlText w:val="(%2)"/>
      <w:numFmt w:val="upperLetter"/>
      <w:start w:val="24"/>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2"/>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2"/>
    </w:lvl>
    <w:lvl w:ilvl="1">
      <w:lvlJc w:val="left"/>
      <w:lvlText w:val="(%2)"/>
      <w:numFmt w:val="lowerRoman"/>
      <w:start w:val="1"/>
    </w:lvl>
  </w:abstractNum>
  <w:abstractNum w:abstractNumId="7">
    <w:nsid w:val="7545E146"/>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2022-04-08T13:46:37Z</dcterms:created>
  <dcterms:modified xsi:type="dcterms:W3CDTF">2022-04-08T13:46:37Z</dcterms:modified>
</cp:coreProperties>
</file>