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GoHealth,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38046W204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Martine Vanasse</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1250 Rene-Levesque West, Suite 1400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Montreal, A8, H3B 5E9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514-937-2772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08/06/2025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38046W204</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PUBLIC SECTOR PENSION INVESTMENT BOARD</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866" w:right="339" w:bottom="0" w:gutter="0" w:footer="0" w:header="0"/>
        </w:sectPr>
      </w:pPr>
    </w:p>
    <w:bookmarkStart w:id="1" w:name="page2"/>
    <w:bookmarkEnd w:id="1"/>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CANADA (FEDERAL LEVEL)</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1,680,526.00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1,680,526.00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1,680,526.00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HC</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38046W204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PSP Investments Credit USA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1,680,444.00</w:t>
            </w:r>
          </w:p>
        </w:tc>
      </w:tr>
    </w:tbl>
    <w:p>
      <w:pPr>
        <w:sectPr>
          <w:pgSz w:w="11900" w:h="16849" w:orient="portrait"/>
          <w:cols w:equalWidth="0" w:num="1">
            <w:col w:w="10099"/>
          </w:cols>
          <w:pgMar w:left="360" w:top="111" w:right="1440" w:bottom="0" w:gutter="0" w:footer="0" w:header="0"/>
          <w:type w:val="continuous"/>
        </w:sectPr>
      </w:pPr>
    </w:p>
    <w:bookmarkStart w:id="2" w:name="page3"/>
    <w:bookmarkEnd w:id="2"/>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20" w:type="dxa"/>
            <w:vAlign w:val="bottom"/>
          </w:tcPr>
          <w:p>
            <w:pPr>
              <w:spacing w:after="0"/>
              <w:rPr>
                <w:sz w:val="21"/>
                <w:szCs w:val="21"/>
                <w:color w:val="auto"/>
              </w:rPr>
            </w:pPr>
          </w:p>
        </w:tc>
        <w:tc>
          <w:tcPr>
            <w:tcW w:w="21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20" w:type="dxa"/>
            <w:vAlign w:val="bottom"/>
          </w:tcPr>
          <w:p>
            <w:pPr>
              <w:spacing w:after="0"/>
              <w:rPr>
                <w:sz w:val="23"/>
                <w:szCs w:val="23"/>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1,680,444.00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10</w:t>
      </w:r>
    </w:p>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1,680,444.00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10.5 %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Class A Common Stock, par value $0.0001 per share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GoHealth,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222 W MERCHANDISE MART PLAZA, SUITE 1750, CHICAGO, ILLINOIS , 60654.</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This Schedule 13D is filed jointly by Public Sector Pension Investment Board ("PSP") and PSP Investments Credit</w:t>
      </w:r>
    </w:p>
    <w:p>
      <w:pPr>
        <w:spacing w:after="0" w:line="14" w:lineRule="exact"/>
        <w:rPr>
          <w:sz w:val="20"/>
          <w:szCs w:val="20"/>
          <w:color w:val="auto"/>
        </w:rPr>
      </w:pPr>
    </w:p>
    <w:p>
      <w:pPr>
        <w:ind w:left="940" w:right="80" w:hanging="932"/>
        <w:spacing w:after="0" w:line="184" w:lineRule="auto"/>
        <w:tabs>
          <w:tab w:leader="none" w:pos="94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USA LLC ("PSP USA"). PSP USA is a wholly owned subsidiary of PSP. Each of PSP and PSP USA may be referred to herein as a "Reporting Person" and collectively as the "Reporting Persons." An agreement among the Reporting Persons with respect to the filing of this statement is attached hereto as Exhibit 99.1.</w:t>
      </w:r>
    </w:p>
    <w:p>
      <w:pPr>
        <w:spacing w:after="0" w:line="18" w:lineRule="exact"/>
        <w:rPr>
          <w:rFonts w:ascii="Times New Roman" w:cs="Times New Roman" w:eastAsia="Times New Roman" w:hAnsi="Times New Roman"/>
          <w:sz w:val="42"/>
          <w:szCs w:val="42"/>
          <w:color w:val="auto"/>
          <w:vertAlign w:val="subscript"/>
        </w:rPr>
      </w:pPr>
    </w:p>
    <w:p>
      <w:pPr>
        <w:ind w:left="940" w:right="340" w:hanging="932"/>
        <w:spacing w:after="0" w:line="185" w:lineRule="auto"/>
        <w:tabs>
          <w:tab w:leader="none" w:pos="94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address of the principal business and office of the Reporting Persons is 1250 Rene-Levesque Boulevard West, Suite 1400, Montreal, Quebec, Canada H3B 5E9.</w:t>
      </w:r>
    </w:p>
    <w:p>
      <w:pPr>
        <w:spacing w:after="0" w:line="17" w:lineRule="exact"/>
        <w:rPr>
          <w:rFonts w:ascii="Times New Roman" w:cs="Times New Roman" w:eastAsia="Times New Roman" w:hAnsi="Times New Roman"/>
          <w:sz w:val="39"/>
          <w:szCs w:val="39"/>
          <w:color w:val="auto"/>
          <w:vertAlign w:val="subscript"/>
        </w:rPr>
      </w:pPr>
    </w:p>
    <w:p>
      <w:pPr>
        <w:jc w:val="both"/>
        <w:ind w:left="940" w:right="160"/>
        <w:spacing w:after="0" w:line="253" w:lineRule="auto"/>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PSP is one of Canada's largest pension investment managers. Its principal business is to invest funds for the pension plans of the Public Service, the Canadian Armed Forces, the Royal Canadian Mounted Police and the Reserve Force</w:t>
      </w:r>
    </w:p>
    <w:p>
      <w:pPr>
        <w:ind w:left="940" w:right="160" w:hanging="932"/>
        <w:spacing w:after="0" w:line="189" w:lineRule="auto"/>
        <w:tabs>
          <w:tab w:leader="none" w:pos="94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of Canada. The principal business of PSP USA is to make investments, as a wholly-owned subsidiary of PSP. As of August 13, 2025, the name, business address, present principal occupation or employment, and citizenship of each director and executive officer of PSP (collectively, the "Scheduled Persons," and each a "Scheduled Person"), are set forth on Exhibit 99.2 attached hereto and incorporated herein by reference.</w:t>
      </w:r>
    </w:p>
    <w:p>
      <w:pPr>
        <w:spacing w:after="0" w:line="14" w:lineRule="exact"/>
        <w:rPr>
          <w:rFonts w:ascii="Times New Roman" w:cs="Times New Roman" w:eastAsia="Times New Roman" w:hAnsi="Times New Roman"/>
          <w:sz w:val="43"/>
          <w:szCs w:val="43"/>
          <w:color w:val="auto"/>
          <w:vertAlign w:val="subscript"/>
        </w:rPr>
      </w:pPr>
    </w:p>
    <w:p>
      <w:pPr>
        <w:ind w:left="94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During the last five years, none of the Reporting Persons, nor, to the Reporting Persons' knowledge, any of the</w:t>
      </w:r>
    </w:p>
    <w:p>
      <w:pPr>
        <w:spacing w:after="0" w:line="14" w:lineRule="exact"/>
        <w:rPr>
          <w:rFonts w:ascii="Times New Roman" w:cs="Times New Roman" w:eastAsia="Times New Roman" w:hAnsi="Times New Roman"/>
          <w:sz w:val="43"/>
          <w:szCs w:val="43"/>
          <w:color w:val="auto"/>
          <w:vertAlign w:val="subscript"/>
        </w:rPr>
      </w:pPr>
    </w:p>
    <w:p>
      <w:pPr>
        <w:ind w:left="940" w:right="1100" w:hanging="932"/>
        <w:spacing w:after="0" w:line="237"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Scheduled Persons, has been convicted of any criminal proceeding (excluding traffic violations or similar misdemeanors).</w:t>
      </w:r>
    </w:p>
    <w:p>
      <w:pPr>
        <w:spacing w:after="0" w:line="16" w:lineRule="exact"/>
        <w:rPr>
          <w:rFonts w:ascii="Times New Roman" w:cs="Times New Roman" w:eastAsia="Times New Roman" w:hAnsi="Times New Roman"/>
          <w:sz w:val="22"/>
          <w:szCs w:val="22"/>
          <w:color w:val="auto"/>
        </w:rPr>
      </w:pPr>
    </w:p>
    <w:p>
      <w:pPr>
        <w:ind w:left="940" w:right="68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During the last five years, none of the Reporting Persons, nor, to the Reporting Persons' knowledge, any of the Scheduled Persons, has been a party to a civil proceeding of a judicial or administrative body of competent</w:t>
      </w:r>
    </w:p>
    <w:p>
      <w:pPr>
        <w:jc w:val="both"/>
        <w:ind w:left="940" w:right="160" w:hanging="932"/>
        <w:spacing w:after="0" w:line="235"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ectPr>
          <w:pgSz w:w="11900" w:h="16847" w:orient="portrait"/>
          <w:cols w:equalWidth="0" w:num="1">
            <w:col w:w="11160"/>
          </w:cols>
          <w:pgMar w:left="360" w:top="102" w:right="379"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56" w:lineRule="auto"/>
        <w:rPr>
          <w:sz w:val="20"/>
          <w:szCs w:val="20"/>
          <w:color w:val="auto"/>
        </w:rPr>
      </w:pPr>
      <w:r>
        <w:rPr>
          <w:rFonts w:ascii="Times New Roman" w:cs="Times New Roman" w:eastAsia="Times New Roman" w:hAnsi="Times New Roman"/>
          <w:sz w:val="22"/>
          <w:szCs w:val="22"/>
          <w:color w:val="auto"/>
        </w:rPr>
        <w:t>PSP is a Canadian Crown corporation established under the Public Sector Pension Investment Board Act. PSP USA is a Delaware limited liability company.</w:t>
      </w:r>
    </w:p>
    <w:p>
      <w:pPr>
        <w:spacing w:after="0"/>
        <w:rPr>
          <w:sz w:val="20"/>
          <w:szCs w:val="20"/>
          <w:color w:val="auto"/>
        </w:rPr>
      </w:pPr>
      <w:r>
        <w:rPr>
          <w:rFonts w:ascii="Times New Roman" w:cs="Times New Roman" w:eastAsia="Times New Roman" w:hAnsi="Times New Roman"/>
          <w:sz w:val="22"/>
          <w:szCs w:val="22"/>
          <w:color w:val="auto"/>
        </w:rPr>
        <w:t>Source and Amount of Funds or Other Consideration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4 of this Schedule 13D is incorporated herein by reference.</w:t>
      </w:r>
    </w:p>
    <w:p>
      <w:pPr>
        <w:spacing w:after="0" w:line="44" w:lineRule="exact"/>
        <w:rPr>
          <w:sz w:val="20"/>
          <w:szCs w:val="20"/>
          <w:color w:val="auto"/>
        </w:rPr>
      </w:pPr>
    </w:p>
    <w:p>
      <w:pPr>
        <w:sectPr>
          <w:pgSz w:w="11900" w:h="16847" w:orient="portrait"/>
          <w:cols w:equalWidth="0" w:num="2">
            <w:col w:w="620" w:space="320"/>
            <w:col w:w="10220"/>
          </w:cols>
          <w:pgMar w:left="360" w:top="102" w:right="379" w:bottom="0" w:gutter="0" w:footer="0" w:header="0"/>
          <w:type w:val="continuous"/>
        </w:sect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ectPr>
          <w:pgSz w:w="11900" w:h="16847" w:orient="portrait"/>
          <w:cols w:equalWidth="0" w:num="1">
            <w:col w:w="11160"/>
          </w:cols>
          <w:pgMar w:left="360" w:top="102" w:right="379" w:bottom="0" w:gutter="0" w:footer="0" w:header="0"/>
          <w:type w:val="continuous"/>
        </w:sectPr>
      </w:pPr>
    </w:p>
    <w:bookmarkStart w:id="3" w:name="page4"/>
    <w:bookmarkEnd w:id="3"/>
    <w:p>
      <w:pPr>
        <w:ind w:left="940"/>
        <w:spacing w:after="0" w:line="238" w:lineRule="auto"/>
        <w:rPr>
          <w:sz w:val="20"/>
          <w:szCs w:val="20"/>
          <w:color w:val="auto"/>
        </w:rPr>
      </w:pPr>
      <w:r>
        <w:rPr>
          <w:rFonts w:ascii="Times New Roman" w:cs="Times New Roman" w:eastAsia="Times New Roman" w:hAnsi="Times New Roman"/>
          <w:sz w:val="22"/>
          <w:szCs w:val="22"/>
          <w:color w:val="auto"/>
        </w:rPr>
        <w:t>On August 6, 2025, in connection with its refinancing transactions, the Issuer and certain of its subsidiaries entered into Amendment No. 14 to that certain Credit Agreement, dated as of September 13, 2019 (as amended, restated, amended and restated, supplemented or otherwise modified from time to time, the "Existing Credit Agreement"). As consideration for, and condition to, the lenders' entry into the amendment of the Existing Credit Agreement, the Issuer issued shares of its Class A Common Stock to lenders thereunder and their affiliates, including PSP USA.</w:t>
      </w:r>
    </w:p>
    <w:p>
      <w:pPr>
        <w:spacing w:after="0" w:line="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20"/>
        <w:spacing w:after="0" w:line="249" w:lineRule="auto"/>
        <w:rPr>
          <w:sz w:val="20"/>
          <w:szCs w:val="20"/>
          <w:color w:val="auto"/>
        </w:rPr>
      </w:pPr>
      <w:r>
        <w:rPr>
          <w:rFonts w:ascii="Times New Roman" w:cs="Times New Roman" w:eastAsia="Times New Roman" w:hAnsi="Times New Roman"/>
          <w:sz w:val="21"/>
          <w:szCs w:val="21"/>
          <w:color w:val="auto"/>
        </w:rPr>
        <w:t>The responses of the Reporting Person to Rows (11) and (13) of the cover pages of this Schedule 13D, are incorporated herein by reference. The aggregate percentage of Class A Common Stock reported beneficially owned by each Reporting Person is based on 11,222,135 shares of Class A Common Stock outstanding as of August 5, 2025,</w:t>
      </w:r>
    </w:p>
    <w:p>
      <w:pPr>
        <w:spacing w:after="0" w:line="1" w:lineRule="exact"/>
        <w:rPr>
          <w:sz w:val="20"/>
          <w:szCs w:val="20"/>
          <w:color w:val="auto"/>
        </w:rPr>
      </w:pPr>
    </w:p>
    <w:p>
      <w:pPr>
        <w:ind w:left="940" w:hanging="932"/>
        <w:spacing w:after="0" w:line="234" w:lineRule="auto"/>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information provided by the Issuer, plus 4,766,219 shares of Class A Common Stock issued on August 6, 2025, as reported in the Issuer's Form 8-K filed with the Securities and Exchange Commission on August 7, 2025. To the Reporting Person's knowledge, none of the Scheduled Persons beneficially owned any shares of Class A Common Stock.</w:t>
      </w:r>
    </w:p>
    <w:p>
      <w:pPr>
        <w:spacing w:after="0" w:line="15" w:lineRule="exact"/>
        <w:rPr>
          <w:rFonts w:ascii="Times New Roman" w:cs="Times New Roman" w:eastAsia="Times New Roman" w:hAnsi="Times New Roman"/>
          <w:sz w:val="22"/>
          <w:szCs w:val="22"/>
          <w:color w:val="auto"/>
        </w:rPr>
      </w:pPr>
    </w:p>
    <w:p>
      <w:pPr>
        <w:ind w:left="940" w:right="820" w:hanging="932"/>
        <w:spacing w:after="0" w:line="185" w:lineRule="auto"/>
        <w:tabs>
          <w:tab w:leader="none" w:pos="94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responses of the Reporting Person to Rows (7) through (10) of the cover pages of this Schedule 13D are incorporated herein by reference.</w:t>
      </w:r>
    </w:p>
    <w:p>
      <w:pPr>
        <w:spacing w:after="0" w:line="17" w:lineRule="exact"/>
        <w:rPr>
          <w:rFonts w:ascii="Times New Roman" w:cs="Times New Roman" w:eastAsia="Times New Roman" w:hAnsi="Times New Roman"/>
          <w:sz w:val="39"/>
          <w:szCs w:val="39"/>
          <w:color w:val="auto"/>
          <w:vertAlign w:val="subscript"/>
        </w:rPr>
      </w:pPr>
    </w:p>
    <w:p>
      <w:pPr>
        <w:ind w:left="940" w:right="40" w:hanging="932"/>
        <w:spacing w:after="0" w:line="185" w:lineRule="auto"/>
        <w:tabs>
          <w:tab w:leader="none" w:pos="94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disclosed in Item 4 of this Schedule 13D, none of the Reporting Persons, nor, to their knowledge any of the Scheduled Persons, has effected any transaction in Class A Common Stock during the past 60 days.</w:t>
      </w:r>
    </w:p>
    <w:p>
      <w:pPr>
        <w:spacing w:after="0" w:line="17" w:lineRule="exact"/>
        <w:rPr>
          <w:rFonts w:ascii="Times New Roman" w:cs="Times New Roman" w:eastAsia="Times New Roman" w:hAnsi="Times New Roman"/>
          <w:sz w:val="39"/>
          <w:szCs w:val="39"/>
          <w:color w:val="auto"/>
          <w:vertAlign w:val="subscript"/>
        </w:rPr>
      </w:pPr>
    </w:p>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940" w:right="1640" w:hanging="931"/>
        <w:spacing w:after="0" w:line="281" w:lineRule="auto"/>
        <w:tabs>
          <w:tab w:leader="none" w:pos="920" w:val="left"/>
        </w:tabs>
        <w:rPr>
          <w:sz w:val="20"/>
          <w:szCs w:val="20"/>
          <w:color w:val="auto"/>
        </w:rPr>
      </w:pPr>
      <w:r>
        <w:rPr>
          <w:rFonts w:ascii="Times New Roman" w:cs="Times New Roman" w:eastAsia="Times New Roman" w:hAnsi="Times New Roman"/>
          <w:sz w:val="22"/>
          <w:szCs w:val="22"/>
          <w:color w:val="auto"/>
        </w:rPr>
        <w:t>Item 6.</w:t>
        <w:tab/>
        <w:t>Contracts, Arrangements, Understandings or Relationships With Respect to Securities of the Issuer Item 4 of this Schedule 13D is incorporated herein by reference.</w:t>
      </w:r>
    </w:p>
    <w:p>
      <w:pPr>
        <w:spacing w:after="0" w:line="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right="740"/>
        <w:spacing w:after="0" w:line="258" w:lineRule="auto"/>
        <w:rPr>
          <w:sz w:val="20"/>
          <w:szCs w:val="20"/>
          <w:color w:val="auto"/>
        </w:rPr>
      </w:pPr>
      <w:r>
        <w:rPr>
          <w:rFonts w:ascii="Times New Roman" w:cs="Times New Roman" w:eastAsia="Times New Roman" w:hAnsi="Times New Roman"/>
          <w:sz w:val="22"/>
          <w:szCs w:val="22"/>
          <w:color w:val="auto"/>
        </w:rPr>
        <w:t>Exhibit 99.1: Joint Filing Agreement Exhibit 99.2: Executive Officers and Directors of Public Sector Pension Investment Board</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PUBLIC SECTOR PENSION INVESTMENT BOARD</w:t>
      </w:r>
    </w:p>
    <w:p>
      <w:pPr>
        <w:spacing w:after="0" w:line="152" w:lineRule="exact"/>
        <w:rPr>
          <w:sz w:val="20"/>
          <w:szCs w:val="20"/>
          <w:color w:val="auto"/>
        </w:rPr>
      </w:pPr>
    </w:p>
    <w:p>
      <w:pPr>
        <w:ind w:left="5620"/>
        <w:spacing w:after="0"/>
        <w:tabs>
          <w:tab w:leader="none" w:pos="6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Martine Vanasse</w:t>
      </w:r>
    </w:p>
    <w:p>
      <w:pPr>
        <w:spacing w:after="0" w:line="4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1"/>
          <w:szCs w:val="21"/>
          <w:color w:val="auto"/>
        </w:rPr>
        <w:t>Name/Title: Managing Director and Chief Compliance Officer</w:t>
      </w:r>
    </w:p>
    <w:p>
      <w:pPr>
        <w:spacing w:after="0" w:line="56" w:lineRule="exact"/>
        <w:rPr>
          <w:sz w:val="20"/>
          <w:szCs w:val="20"/>
          <w:color w:val="auto"/>
        </w:rPr>
      </w:pPr>
    </w:p>
    <w:p>
      <w:pPr>
        <w:ind w:left="5620"/>
        <w:spacing w:after="0"/>
        <w:tabs>
          <w:tab w:leader="none" w:pos="6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08/13/2025</w:t>
      </w:r>
    </w:p>
    <w:p>
      <w:pPr>
        <w:spacing w:after="0" w:line="15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PSP Investments Credit USA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Charlotte E. Muellers</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Managing Director, Co-Head of North America,</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Credit Investments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08/13/2025</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2"/>
      <w:numFmt w:val="bullet"/>
      <w:start w:val="1"/>
    </w:lvl>
  </w:abstractNum>
  <w:abstractNum w:abstractNumId="2">
    <w:nsid w:val="625558EC"/>
    <w:multiLevelType w:val="hybridMultilevel"/>
    <w:lvl w:ilvl="0">
      <w:lvlJc w:val="left"/>
      <w:lvlText w:val="3"/>
      <w:numFmt w:val="bullet"/>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2025-08-13T07:48:01Z</dcterms:created>
  <dcterms:modified xsi:type="dcterms:W3CDTF">2025-08-13T07:48:01Z</dcterms:modified>
</cp:coreProperties>
</file>