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2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2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295910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ind w:right="-123"/>
        <w:spacing w:after="0"/>
        <w:rPr>
          <w:sz w:val="20"/>
          <w:szCs w:val="20"/>
          <w:color w:val="auto"/>
        </w:rPr>
      </w:pPr>
      <w:r>
        <w:rPr>
          <w:rFonts w:ascii="Arial" w:cs="Arial" w:eastAsia="Arial" w:hAnsi="Arial"/>
          <w:sz w:val="32"/>
          <w:szCs w:val="32"/>
          <w:b w:val="1"/>
          <w:bCs w:val="1"/>
          <w:color w:val="auto"/>
        </w:rPr>
        <w:t>Schedule 13G</w:t>
      </w:r>
    </w:p>
    <w:p>
      <w:pPr>
        <w:spacing w:after="0" w:line="34" w:lineRule="exact"/>
        <w:rPr>
          <w:sz w:val="24"/>
          <w:szCs w:val="24"/>
          <w:color w:val="auto"/>
        </w:rPr>
      </w:pPr>
    </w:p>
    <w:p>
      <w:pPr>
        <w:jc w:val="center"/>
        <w:ind w:right="-123"/>
        <w:spacing w:after="0"/>
        <w:rPr>
          <w:sz w:val="20"/>
          <w:szCs w:val="20"/>
          <w:color w:val="auto"/>
        </w:rPr>
      </w:pPr>
      <w:r>
        <w:rPr>
          <w:rFonts w:ascii="Arial" w:cs="Arial" w:eastAsia="Arial" w:hAnsi="Arial"/>
          <w:sz w:val="22"/>
          <w:szCs w:val="22"/>
          <w:b w:val="1"/>
          <w:bCs w:val="1"/>
          <w:color w:val="auto"/>
        </w:rPr>
        <w:t>(Rule 13d-102)</w:t>
      </w:r>
    </w:p>
    <w:p>
      <w:pPr>
        <w:spacing w:after="0" w:line="182" w:lineRule="exact"/>
        <w:rPr>
          <w:sz w:val="24"/>
          <w:szCs w:val="24"/>
          <w:color w:val="auto"/>
        </w:rPr>
      </w:pPr>
    </w:p>
    <w:p>
      <w:pPr>
        <w:jc w:val="center"/>
        <w:ind w:left="560" w:right="2580"/>
        <w:spacing w:after="0" w:line="243" w:lineRule="auto"/>
        <w:rPr>
          <w:sz w:val="20"/>
          <w:szCs w:val="20"/>
          <w:color w:val="auto"/>
        </w:rPr>
      </w:pPr>
      <w:r>
        <w:rPr>
          <w:rFonts w:ascii="Arial" w:cs="Arial" w:eastAsia="Arial" w:hAnsi="Arial"/>
          <w:sz w:val="22"/>
          <w:szCs w:val="22"/>
          <w:b w:val="1"/>
          <w:bCs w:val="1"/>
          <w:color w:val="auto"/>
        </w:rPr>
        <w:t>Information to be Included in Statements Filed Pursuant to § 240.13d-1(b), (c) and (d) and Amendments Thereto Filed Pursuant to § 240.13d-2</w:t>
      </w:r>
    </w:p>
    <w:p>
      <w:pPr>
        <w:spacing w:after="0" w:line="177" w:lineRule="exact"/>
        <w:rPr>
          <w:sz w:val="24"/>
          <w:szCs w:val="24"/>
          <w:color w:val="auto"/>
        </w:rPr>
      </w:pPr>
    </w:p>
    <w:p>
      <w:pPr>
        <w:jc w:val="center"/>
        <w:ind w:right="-123"/>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43"/>
        <w:spacing w:after="0"/>
        <w:tabs>
          <w:tab w:leader="none" w:pos="20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304165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jc w:val="center"/>
        <w:ind w:right="-123"/>
        <w:spacing w:after="0"/>
        <w:rPr>
          <w:sz w:val="20"/>
          <w:szCs w:val="20"/>
          <w:color w:val="auto"/>
        </w:rPr>
      </w:pPr>
      <w:r>
        <w:rPr>
          <w:rFonts w:ascii="Arial" w:cs="Arial" w:eastAsia="Arial" w:hAnsi="Arial"/>
          <w:sz w:val="40"/>
          <w:szCs w:val="40"/>
          <w:b w:val="1"/>
          <w:bCs w:val="1"/>
          <w:color w:val="auto"/>
        </w:rPr>
        <w:t>GoHealth, Inc.</w:t>
      </w:r>
    </w:p>
    <w:p>
      <w:pPr>
        <w:spacing w:after="0" w:line="35" w:lineRule="exact"/>
        <w:rPr>
          <w:sz w:val="24"/>
          <w:szCs w:val="24"/>
          <w:color w:val="auto"/>
        </w:rPr>
      </w:pPr>
    </w:p>
    <w:p>
      <w:pPr>
        <w:jc w:val="center"/>
        <w:ind w:right="-123"/>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123"/>
        <w:spacing w:after="0"/>
        <w:rPr>
          <w:sz w:val="20"/>
          <w:szCs w:val="20"/>
          <w:color w:val="auto"/>
        </w:rPr>
      </w:pPr>
      <w:r>
        <w:rPr>
          <w:rFonts w:ascii="Arial" w:cs="Arial" w:eastAsia="Arial" w:hAnsi="Arial"/>
          <w:sz w:val="18"/>
          <w:szCs w:val="18"/>
          <w:b w:val="1"/>
          <w:bCs w:val="1"/>
          <w:color w:val="auto"/>
        </w:rPr>
        <w:t>Class A Common Stock, $0.0001 par value per share</w:t>
      </w:r>
    </w:p>
    <w:p>
      <w:pPr>
        <w:spacing w:after="0" w:line="21" w:lineRule="exact"/>
        <w:rPr>
          <w:sz w:val="24"/>
          <w:szCs w:val="24"/>
          <w:color w:val="auto"/>
        </w:rPr>
      </w:pPr>
    </w:p>
    <w:p>
      <w:pPr>
        <w:jc w:val="center"/>
        <w:ind w:right="-123"/>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123"/>
        <w:spacing w:after="0"/>
        <w:rPr>
          <w:sz w:val="20"/>
          <w:szCs w:val="20"/>
          <w:color w:val="auto"/>
        </w:rPr>
      </w:pPr>
      <w:r>
        <w:rPr>
          <w:rFonts w:ascii="Arial" w:cs="Arial" w:eastAsia="Arial" w:hAnsi="Arial"/>
          <w:sz w:val="18"/>
          <w:szCs w:val="18"/>
          <w:b w:val="1"/>
          <w:bCs w:val="1"/>
          <w:color w:val="auto"/>
        </w:rPr>
        <w:t>38046W105</w:t>
      </w:r>
    </w:p>
    <w:p>
      <w:pPr>
        <w:spacing w:after="0" w:line="21" w:lineRule="exact"/>
        <w:rPr>
          <w:sz w:val="24"/>
          <w:szCs w:val="24"/>
          <w:color w:val="auto"/>
        </w:rPr>
      </w:pPr>
    </w:p>
    <w:p>
      <w:pPr>
        <w:jc w:val="center"/>
        <w:ind w:right="-123"/>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123"/>
        <w:spacing w:after="0"/>
        <w:rPr>
          <w:sz w:val="20"/>
          <w:szCs w:val="20"/>
          <w:color w:val="auto"/>
        </w:rPr>
      </w:pPr>
      <w:r>
        <w:rPr>
          <w:rFonts w:ascii="Arial" w:cs="Arial" w:eastAsia="Arial" w:hAnsi="Arial"/>
          <w:sz w:val="18"/>
          <w:szCs w:val="18"/>
          <w:b w:val="1"/>
          <w:bCs w:val="1"/>
          <w:color w:val="auto"/>
        </w:rPr>
        <w:t>December 31, 2020</w:t>
      </w:r>
    </w:p>
    <w:p>
      <w:pPr>
        <w:spacing w:after="0" w:line="21" w:lineRule="exact"/>
        <w:rPr>
          <w:sz w:val="24"/>
          <w:szCs w:val="24"/>
          <w:color w:val="auto"/>
        </w:rPr>
      </w:pPr>
    </w:p>
    <w:p>
      <w:pPr>
        <w:jc w:val="center"/>
        <w:ind w:right="-123"/>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296545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left="4"/>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204" w:hanging="204"/>
        <w:spacing w:after="0"/>
        <w:tabs>
          <w:tab w:leader="none" w:pos="20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rFonts w:ascii="MS PGothic" w:cs="MS PGothic" w:eastAsia="MS PGothic" w:hAnsi="MS PGothic"/>
          <w:sz w:val="18"/>
          <w:szCs w:val="18"/>
          <w:color w:val="auto"/>
        </w:rPr>
      </w:pPr>
    </w:p>
    <w:p>
      <w:pPr>
        <w:ind w:left="204" w:hanging="204"/>
        <w:spacing w:after="0"/>
        <w:tabs>
          <w:tab w:leader="none" w:pos="20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204" w:hanging="204"/>
        <w:spacing w:after="0"/>
        <w:tabs>
          <w:tab w:leader="none" w:pos="20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sz w:val="24"/>
          <w:szCs w:val="24"/>
          <w:color w:val="auto"/>
        </w:rPr>
      </w:pPr>
    </w:p>
    <w:p>
      <w:pPr>
        <w:ind w:left="224" w:right="140" w:hanging="224"/>
        <w:spacing w:after="0" w:line="308" w:lineRule="auto"/>
        <w:tabs>
          <w:tab w:leader="none" w:pos="224"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sz w:val="24"/>
          <w:szCs w:val="24"/>
          <w:color w:val="auto"/>
        </w:rPr>
      </w:pPr>
    </w:p>
    <w:p>
      <w:pPr>
        <w:ind w:left="4"/>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151130</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194310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884"/>
          </w:cols>
          <w:pgMar w:left="436" w:top="517" w:right="579" w:bottom="1440" w:gutter="0" w:footer="0" w:header="0"/>
        </w:sectPr>
      </w:pPr>
    </w:p>
    <w:bookmarkStart w:id="1" w:name="page2"/>
    <w:bookmarkEnd w:id="1"/>
    <w:p>
      <w:pPr>
        <w:spacing w:after="0"/>
        <w:tabs>
          <w:tab w:leader="none" w:pos="5220" w:val="left"/>
          <w:tab w:leader="none" w:pos="100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38046W105</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6"/>
          <w:szCs w:val="16"/>
          <w:color w:val="auto"/>
        </w:rPr>
        <w:t>Page 1 of 12</w:t>
      </w:r>
    </w:p>
    <w:p>
      <w:pPr>
        <w:spacing w:after="0" w:line="171" w:lineRule="exact"/>
        <w:rPr>
          <w:sz w:val="20"/>
          <w:szCs w:val="20"/>
          <w:color w:val="auto"/>
        </w:rPr>
      </w:pPr>
    </w:p>
    <w:p>
      <w:pPr>
        <w:ind w:left="660" w:hanging="417"/>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003415" cy="53924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03415" cy="5392420"/>
                    </a:xfrm>
                    <a:prstGeom prst="rect">
                      <a:avLst/>
                    </a:prstGeom>
                    <a:noFill/>
                  </pic:spPr>
                </pic:pic>
              </a:graphicData>
            </a:graphic>
          </wp:anchor>
        </w:drawing>
      </w:r>
    </w:p>
    <w:p>
      <w:pPr>
        <w:spacing w:after="0" w:line="219" w:lineRule="exact"/>
        <w:rPr>
          <w:sz w:val="20"/>
          <w:szCs w:val="20"/>
          <w:color w:val="auto"/>
        </w:rPr>
      </w:pPr>
    </w:p>
    <w:p>
      <w:pPr>
        <w:ind w:left="680"/>
        <w:spacing w:after="0"/>
        <w:rPr>
          <w:sz w:val="20"/>
          <w:szCs w:val="20"/>
          <w:color w:val="auto"/>
        </w:rPr>
      </w:pPr>
      <w:r>
        <w:rPr>
          <w:rFonts w:ascii="Arial" w:cs="Arial" w:eastAsia="Arial" w:hAnsi="Arial"/>
          <w:sz w:val="22"/>
          <w:szCs w:val="22"/>
          <w:b w:val="1"/>
          <w:bCs w:val="1"/>
          <w:color w:val="auto"/>
        </w:rPr>
        <w:t>CCP III Cayman GP Ltd.</w:t>
      </w:r>
    </w:p>
    <w:p>
      <w:pPr>
        <w:spacing w:after="0" w:line="30" w:lineRule="exact"/>
        <w:rPr>
          <w:sz w:val="20"/>
          <w:szCs w:val="20"/>
          <w:color w:val="auto"/>
        </w:rPr>
      </w:pPr>
    </w:p>
    <w:p>
      <w:pPr>
        <w:ind w:left="660" w:hanging="417"/>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660"/>
        <w:spacing w:after="0" w:line="207" w:lineRule="exact"/>
        <w:tabs>
          <w:tab w:leader="none" w:pos="144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60" w:hanging="417"/>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60" w:hanging="417"/>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39" w:lineRule="exact"/>
        <w:rPr>
          <w:sz w:val="20"/>
          <w:szCs w:val="20"/>
          <w:color w:val="auto"/>
        </w:rPr>
      </w:pPr>
    </w:p>
    <w:p>
      <w:pPr>
        <w:ind w:left="680"/>
        <w:spacing w:after="0"/>
        <w:rPr>
          <w:sz w:val="20"/>
          <w:szCs w:val="20"/>
          <w:color w:val="auto"/>
        </w:rPr>
      </w:pPr>
      <w:r>
        <w:rPr>
          <w:rFonts w:ascii="Arial" w:cs="Arial" w:eastAsia="Arial" w:hAnsi="Arial"/>
          <w:sz w:val="22"/>
          <w:szCs w:val="22"/>
          <w:b w:val="1"/>
          <w:bCs w:val="1"/>
          <w:color w:val="auto"/>
        </w:rPr>
        <w:t>Cayman Islands</w:t>
      </w:r>
    </w:p>
    <w:p>
      <w:pPr>
        <w:sectPr>
          <w:pgSz w:w="11900" w:h="16838" w:orient="portrait"/>
          <w:cols w:equalWidth="0" w:num="1">
            <w:col w:w="11020"/>
          </w:cols>
          <w:pgMar w:left="440" w:top="274"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Number of</w:t>
      </w:r>
    </w:p>
    <w:p>
      <w:pPr>
        <w:spacing w:after="0" w:line="23"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jc w:val="center"/>
        <w:ind w:left="200"/>
        <w:spacing w:after="0"/>
        <w:rPr>
          <w:sz w:val="20"/>
          <w:szCs w:val="20"/>
          <w:color w:val="auto"/>
        </w:rPr>
      </w:pPr>
      <w:r>
        <w:rPr>
          <w:rFonts w:ascii="Arial" w:cs="Arial" w:eastAsia="Arial" w:hAnsi="Arial"/>
          <w:sz w:val="17"/>
          <w:szCs w:val="17"/>
          <w:color w:val="auto"/>
        </w:rPr>
        <w:t>Beneficially</w:t>
      </w:r>
    </w:p>
    <w:p>
      <w:pPr>
        <w:spacing w:after="0" w:line="21"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Person</w:t>
      </w:r>
    </w:p>
    <w:p>
      <w:pPr>
        <w:spacing w:after="0" w:line="9"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With</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ind w:left="452" w:hanging="452"/>
        <w:spacing w:after="0"/>
        <w:tabs>
          <w:tab w:leader="none" w:pos="452"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39" w:lineRule="exact"/>
        <w:rPr>
          <w:sz w:val="20"/>
          <w:szCs w:val="20"/>
          <w:color w:val="auto"/>
        </w:rPr>
      </w:pPr>
    </w:p>
    <w:p>
      <w:pPr>
        <w:ind w:left="472"/>
        <w:spacing w:after="0"/>
        <w:rPr>
          <w:sz w:val="20"/>
          <w:szCs w:val="20"/>
          <w:color w:val="auto"/>
        </w:rPr>
      </w:pPr>
      <w:r>
        <w:rPr>
          <w:rFonts w:ascii="Arial" w:cs="Arial" w:eastAsia="Arial" w:hAnsi="Arial"/>
          <w:sz w:val="22"/>
          <w:szCs w:val="22"/>
          <w:b w:val="1"/>
          <w:bCs w:val="1"/>
          <w:color w:val="auto"/>
        </w:rPr>
        <w:t>0</w:t>
      </w:r>
    </w:p>
    <w:p>
      <w:pPr>
        <w:spacing w:after="0" w:line="30" w:lineRule="exact"/>
        <w:rPr>
          <w:sz w:val="20"/>
          <w:szCs w:val="20"/>
          <w:color w:val="auto"/>
        </w:rPr>
      </w:pPr>
    </w:p>
    <w:p>
      <w:pPr>
        <w:ind w:left="452" w:hanging="452"/>
        <w:spacing w:after="0"/>
        <w:tabs>
          <w:tab w:leader="none" w:pos="452"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39" w:lineRule="exact"/>
        <w:rPr>
          <w:sz w:val="20"/>
          <w:szCs w:val="20"/>
          <w:color w:val="auto"/>
        </w:rPr>
      </w:pPr>
    </w:p>
    <w:p>
      <w:pPr>
        <w:ind w:left="472"/>
        <w:spacing w:after="0"/>
        <w:rPr>
          <w:sz w:val="20"/>
          <w:szCs w:val="20"/>
          <w:color w:val="auto"/>
        </w:rPr>
      </w:pPr>
      <w:r>
        <w:rPr>
          <w:rFonts w:ascii="Arial" w:cs="Arial" w:eastAsia="Arial" w:hAnsi="Arial"/>
          <w:sz w:val="22"/>
          <w:szCs w:val="22"/>
          <w:b w:val="1"/>
          <w:bCs w:val="1"/>
          <w:color w:val="auto"/>
        </w:rPr>
        <w:t>121,475,638</w:t>
      </w:r>
    </w:p>
    <w:p>
      <w:pPr>
        <w:spacing w:after="0" w:line="30" w:lineRule="exact"/>
        <w:rPr>
          <w:sz w:val="20"/>
          <w:szCs w:val="20"/>
          <w:color w:val="auto"/>
        </w:rPr>
      </w:pPr>
    </w:p>
    <w:p>
      <w:pPr>
        <w:ind w:left="452" w:hanging="452"/>
        <w:spacing w:after="0"/>
        <w:tabs>
          <w:tab w:leader="none" w:pos="452" w:val="left"/>
        </w:tabs>
        <w:numPr>
          <w:ilvl w:val="0"/>
          <w:numId w:val="10"/>
        </w:numPr>
        <w:rPr>
          <w:rFonts w:ascii="Arial" w:cs="Arial" w:eastAsia="Arial" w:hAnsi="Arial"/>
          <w:sz w:val="18"/>
          <w:szCs w:val="18"/>
          <w:color w:val="auto"/>
        </w:rPr>
      </w:pPr>
      <w:r>
        <w:rPr>
          <w:rFonts w:ascii="Arial" w:cs="Arial" w:eastAsia="Arial" w:hAnsi="Arial"/>
          <w:sz w:val="18"/>
          <w:szCs w:val="18"/>
          <w:color w:val="auto"/>
        </w:rPr>
        <w:t>Sole Dispositive Power</w:t>
      </w:r>
    </w:p>
    <w:p>
      <w:pPr>
        <w:spacing w:after="0" w:line="239" w:lineRule="exact"/>
        <w:rPr>
          <w:sz w:val="20"/>
          <w:szCs w:val="20"/>
          <w:color w:val="auto"/>
        </w:rPr>
      </w:pPr>
    </w:p>
    <w:p>
      <w:pPr>
        <w:ind w:left="472"/>
        <w:spacing w:after="0"/>
        <w:rPr>
          <w:sz w:val="20"/>
          <w:szCs w:val="20"/>
          <w:color w:val="auto"/>
        </w:rPr>
      </w:pPr>
      <w:r>
        <w:rPr>
          <w:rFonts w:ascii="Arial" w:cs="Arial" w:eastAsia="Arial" w:hAnsi="Arial"/>
          <w:sz w:val="22"/>
          <w:szCs w:val="22"/>
          <w:b w:val="1"/>
          <w:bCs w:val="1"/>
          <w:color w:val="auto"/>
        </w:rPr>
        <w:t>0</w:t>
      </w:r>
    </w:p>
    <w:p>
      <w:pPr>
        <w:spacing w:after="0" w:line="30" w:lineRule="exact"/>
        <w:rPr>
          <w:sz w:val="20"/>
          <w:szCs w:val="20"/>
          <w:color w:val="auto"/>
        </w:rPr>
      </w:pPr>
    </w:p>
    <w:p>
      <w:pPr>
        <w:ind w:left="452" w:hanging="452"/>
        <w:spacing w:after="0"/>
        <w:tabs>
          <w:tab w:leader="none" w:pos="452" w:val="left"/>
        </w:tabs>
        <w:numPr>
          <w:ilvl w:val="0"/>
          <w:numId w:val="11"/>
        </w:numPr>
        <w:rPr>
          <w:rFonts w:ascii="Arial" w:cs="Arial" w:eastAsia="Arial" w:hAnsi="Arial"/>
          <w:sz w:val="16"/>
          <w:szCs w:val="16"/>
          <w:color w:val="auto"/>
        </w:rPr>
      </w:pPr>
      <w:r>
        <w:rPr>
          <w:rFonts w:ascii="Arial" w:cs="Arial" w:eastAsia="Arial" w:hAnsi="Arial"/>
          <w:sz w:val="16"/>
          <w:szCs w:val="16"/>
          <w:color w:val="auto"/>
        </w:rPr>
        <w:t>Shared Dispositive Power</w:t>
      </w:r>
    </w:p>
    <w:p>
      <w:pPr>
        <w:spacing w:after="0" w:line="262" w:lineRule="exact"/>
        <w:rPr>
          <w:sz w:val="20"/>
          <w:szCs w:val="20"/>
          <w:color w:val="auto"/>
        </w:rPr>
      </w:pPr>
    </w:p>
    <w:p>
      <w:pPr>
        <w:ind w:left="472"/>
        <w:spacing w:after="0"/>
        <w:rPr>
          <w:sz w:val="20"/>
          <w:szCs w:val="20"/>
          <w:color w:val="auto"/>
        </w:rPr>
      </w:pPr>
      <w:r>
        <w:rPr>
          <w:rFonts w:ascii="Arial" w:cs="Arial" w:eastAsia="Arial" w:hAnsi="Arial"/>
          <w:sz w:val="22"/>
          <w:szCs w:val="22"/>
          <w:b w:val="1"/>
          <w:bCs w:val="1"/>
          <w:color w:val="auto"/>
        </w:rPr>
        <w:t>121,475,638</w:t>
      </w:r>
    </w:p>
    <w:p>
      <w:pPr>
        <w:spacing w:after="0" w:line="30" w:lineRule="exact"/>
        <w:rPr>
          <w:sz w:val="20"/>
          <w:szCs w:val="20"/>
          <w:color w:val="auto"/>
        </w:rPr>
      </w:pPr>
    </w:p>
    <w:p>
      <w:pPr>
        <w:sectPr>
          <w:pgSz w:w="11900" w:h="16838" w:orient="portrait"/>
          <w:cols w:equalWidth="0" w:num="2">
            <w:col w:w="1080" w:space="248"/>
            <w:col w:w="9692"/>
          </w:cols>
          <w:pgMar w:left="440" w:top="274" w:right="439" w:bottom="1440" w:gutter="0" w:footer="0" w:header="0"/>
          <w:type w:val="continuous"/>
        </w:sectPr>
      </w:pPr>
    </w:p>
    <w:p>
      <w:pPr>
        <w:ind w:left="640" w:hanging="397"/>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Aggregate Amount Beneficially Owned by Each Reporting Person</w:t>
      </w:r>
    </w:p>
    <w:p>
      <w:pPr>
        <w:spacing w:after="0" w:line="262" w:lineRule="exact"/>
        <w:rPr>
          <w:sz w:val="20"/>
          <w:szCs w:val="20"/>
          <w:color w:val="auto"/>
        </w:rPr>
      </w:pPr>
    </w:p>
    <w:p>
      <w:pPr>
        <w:ind w:left="680"/>
        <w:spacing w:after="0"/>
        <w:rPr>
          <w:sz w:val="20"/>
          <w:szCs w:val="20"/>
          <w:color w:val="auto"/>
        </w:rPr>
      </w:pPr>
      <w:r>
        <w:rPr>
          <w:rFonts w:ascii="Arial" w:cs="Arial" w:eastAsia="Arial" w:hAnsi="Arial"/>
          <w:sz w:val="22"/>
          <w:szCs w:val="22"/>
          <w:b w:val="1"/>
          <w:bCs w:val="1"/>
          <w:color w:val="auto"/>
        </w:rPr>
        <w:t>121,475,638</w:t>
      </w:r>
    </w:p>
    <w:p>
      <w:pPr>
        <w:spacing w:after="0" w:line="30" w:lineRule="exact"/>
        <w:rPr>
          <w:sz w:val="20"/>
          <w:szCs w:val="20"/>
          <w:color w:val="auto"/>
        </w:rPr>
      </w:pPr>
    </w:p>
    <w:p>
      <w:pPr>
        <w:ind w:left="160"/>
        <w:spacing w:after="0"/>
        <w:tabs>
          <w:tab w:leader="none" w:pos="640" w:val="left"/>
        </w:tabs>
        <w:rPr>
          <w:sz w:val="20"/>
          <w:szCs w:val="20"/>
          <w:color w:val="auto"/>
        </w:rPr>
      </w:pPr>
      <w:r>
        <w:rPr>
          <w:rFonts w:ascii="Arial" w:cs="Arial" w:eastAsia="Arial" w:hAnsi="Arial"/>
          <w:sz w:val="16"/>
          <w:szCs w:val="16"/>
          <w:color w:val="auto"/>
        </w:rPr>
        <w:t>10</w:t>
      </w:r>
      <w:r>
        <w:rPr>
          <w:sz w:val="20"/>
          <w:szCs w:val="20"/>
          <w:color w:val="auto"/>
        </w:rPr>
        <w:tab/>
      </w:r>
      <w:r>
        <w:rPr>
          <w:rFonts w:ascii="Arial" w:cs="Arial" w:eastAsia="Arial" w:hAnsi="Arial"/>
          <w:sz w:val="16"/>
          <w:szCs w:val="16"/>
          <w:color w:val="auto"/>
        </w:rPr>
        <w:t>Check if the Aggregate Amount in Row (9) Excludes Certain Shares</w:t>
      </w:r>
    </w:p>
    <w:p>
      <w:pPr>
        <w:spacing w:after="0" w:line="262" w:lineRule="exact"/>
        <w:rPr>
          <w:sz w:val="20"/>
          <w:szCs w:val="20"/>
          <w:color w:val="auto"/>
        </w:rPr>
      </w:pPr>
    </w:p>
    <w:p>
      <w:pPr>
        <w:ind w:left="680"/>
        <w:spacing w:after="0"/>
        <w:rPr>
          <w:sz w:val="20"/>
          <w:szCs w:val="20"/>
          <w:color w:val="auto"/>
        </w:rPr>
      </w:pPr>
      <w:r>
        <w:rPr>
          <w:rFonts w:ascii="Arial" w:cs="Arial" w:eastAsia="Arial" w:hAnsi="Arial"/>
          <w:sz w:val="22"/>
          <w:szCs w:val="22"/>
          <w:b w:val="1"/>
          <w:bCs w:val="1"/>
          <w:color w:val="auto"/>
        </w:rPr>
        <w:t>Not Applicable</w:t>
      </w:r>
    </w:p>
    <w:p>
      <w:pPr>
        <w:spacing w:after="0" w:line="30" w:lineRule="exact"/>
        <w:rPr>
          <w:sz w:val="20"/>
          <w:szCs w:val="20"/>
          <w:color w:val="auto"/>
        </w:rPr>
      </w:pPr>
    </w:p>
    <w:p>
      <w:pPr>
        <w:ind w:left="160"/>
        <w:spacing w:after="0"/>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Percent of Class Represented by Amount in Row 9</w:t>
      </w:r>
    </w:p>
    <w:p>
      <w:pPr>
        <w:spacing w:after="0" w:line="239" w:lineRule="exact"/>
        <w:rPr>
          <w:sz w:val="20"/>
          <w:szCs w:val="20"/>
          <w:color w:val="auto"/>
        </w:rPr>
      </w:pPr>
    </w:p>
    <w:p>
      <w:pPr>
        <w:ind w:left="680"/>
        <w:spacing w:after="0"/>
        <w:rPr>
          <w:sz w:val="20"/>
          <w:szCs w:val="20"/>
          <w:color w:val="auto"/>
        </w:rPr>
      </w:pPr>
      <w:r>
        <w:rPr>
          <w:rFonts w:ascii="Arial" w:cs="Arial" w:eastAsia="Arial" w:hAnsi="Arial"/>
          <w:sz w:val="22"/>
          <w:szCs w:val="22"/>
          <w:b w:val="1"/>
          <w:bCs w:val="1"/>
          <w:color w:val="auto"/>
        </w:rPr>
        <w:t>73.6%</w:t>
      </w:r>
    </w:p>
    <w:p>
      <w:pPr>
        <w:spacing w:after="0" w:line="30" w:lineRule="exact"/>
        <w:rPr>
          <w:sz w:val="20"/>
          <w:szCs w:val="20"/>
          <w:color w:val="auto"/>
        </w:rPr>
      </w:pPr>
    </w:p>
    <w:p>
      <w:pPr>
        <w:ind w:left="160"/>
        <w:spacing w:after="0"/>
        <w:tabs>
          <w:tab w:leader="none" w:pos="6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Type of Reporting Person</w:t>
      </w:r>
    </w:p>
    <w:p>
      <w:pPr>
        <w:spacing w:after="0" w:line="239" w:lineRule="exact"/>
        <w:rPr>
          <w:sz w:val="20"/>
          <w:szCs w:val="20"/>
          <w:color w:val="auto"/>
        </w:rPr>
      </w:pPr>
    </w:p>
    <w:p>
      <w:pPr>
        <w:ind w:left="680"/>
        <w:spacing w:after="0"/>
        <w:rPr>
          <w:sz w:val="20"/>
          <w:szCs w:val="20"/>
          <w:color w:val="auto"/>
        </w:rPr>
      </w:pPr>
      <w:r>
        <w:rPr>
          <w:rFonts w:ascii="Arial" w:cs="Arial" w:eastAsia="Arial" w:hAnsi="Arial"/>
          <w:sz w:val="22"/>
          <w:szCs w:val="22"/>
          <w:b w:val="1"/>
          <w:bCs w:val="1"/>
          <w:color w:val="auto"/>
        </w:rPr>
        <w:t>OO</w:t>
      </w:r>
    </w:p>
    <w:p>
      <w:pPr>
        <w:sectPr>
          <w:pgSz w:w="11900" w:h="16838" w:orient="portrait"/>
          <w:cols w:equalWidth="0" w:num="1">
            <w:col w:w="11020"/>
          </w:cols>
          <w:pgMar w:left="440" w:top="274" w:right="439" w:bottom="1440" w:gutter="0" w:footer="0" w:header="0"/>
          <w:type w:val="continuous"/>
        </w:sectPr>
      </w:pPr>
    </w:p>
    <w:bookmarkStart w:id="2" w:name="page3"/>
    <w:bookmarkEnd w:id="2"/>
    <w:p>
      <w:pPr>
        <w:spacing w:after="0"/>
        <w:tabs>
          <w:tab w:leader="none" w:pos="5220" w:val="left"/>
          <w:tab w:leader="none" w:pos="100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CUSIP No. 38046W105</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6"/>
          <w:szCs w:val="16"/>
          <w:color w:val="auto"/>
        </w:rPr>
        <w:t>Page 2 of 12</w:t>
      </w:r>
    </w:p>
    <w:p>
      <w:pPr>
        <w:spacing w:after="0" w:line="171" w:lineRule="exact"/>
        <w:rPr>
          <w:sz w:val="20"/>
          <w:szCs w:val="20"/>
          <w:color w:val="auto"/>
        </w:rPr>
      </w:pPr>
    </w:p>
    <w:p>
      <w:pPr>
        <w:ind w:left="660" w:hanging="417"/>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003415" cy="53917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03415" cy="5391785"/>
                    </a:xfrm>
                    <a:prstGeom prst="rect">
                      <a:avLst/>
                    </a:prstGeom>
                    <a:noFill/>
                  </pic:spPr>
                </pic:pic>
              </a:graphicData>
            </a:graphic>
          </wp:anchor>
        </w:drawing>
      </w:r>
    </w:p>
    <w:p>
      <w:pPr>
        <w:spacing w:after="0" w:line="219" w:lineRule="exact"/>
        <w:rPr>
          <w:sz w:val="20"/>
          <w:szCs w:val="20"/>
          <w:color w:val="auto"/>
        </w:rPr>
      </w:pPr>
    </w:p>
    <w:p>
      <w:pPr>
        <w:ind w:left="680"/>
        <w:spacing w:after="0"/>
        <w:rPr>
          <w:sz w:val="20"/>
          <w:szCs w:val="20"/>
          <w:color w:val="auto"/>
        </w:rPr>
      </w:pPr>
      <w:r>
        <w:rPr>
          <w:rFonts w:ascii="Arial" w:cs="Arial" w:eastAsia="Arial" w:hAnsi="Arial"/>
          <w:sz w:val="22"/>
          <w:szCs w:val="22"/>
          <w:b w:val="1"/>
          <w:bCs w:val="1"/>
          <w:color w:val="auto"/>
        </w:rPr>
        <w:t>Centerbridge Associates III, L.P.</w:t>
      </w:r>
    </w:p>
    <w:p>
      <w:pPr>
        <w:spacing w:after="0" w:line="30" w:lineRule="exact"/>
        <w:rPr>
          <w:sz w:val="20"/>
          <w:szCs w:val="20"/>
          <w:color w:val="auto"/>
        </w:rPr>
      </w:pPr>
    </w:p>
    <w:p>
      <w:pPr>
        <w:ind w:left="660" w:hanging="417"/>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660"/>
        <w:spacing w:after="0" w:line="207" w:lineRule="exact"/>
        <w:tabs>
          <w:tab w:leader="none" w:pos="144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60" w:hanging="417"/>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60" w:hanging="417"/>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39" w:lineRule="exact"/>
        <w:rPr>
          <w:sz w:val="20"/>
          <w:szCs w:val="20"/>
          <w:color w:val="auto"/>
        </w:rPr>
      </w:pPr>
    </w:p>
    <w:p>
      <w:pPr>
        <w:ind w:left="680"/>
        <w:spacing w:after="0"/>
        <w:rPr>
          <w:sz w:val="20"/>
          <w:szCs w:val="20"/>
          <w:color w:val="auto"/>
        </w:rPr>
      </w:pPr>
      <w:r>
        <w:rPr>
          <w:rFonts w:ascii="Arial" w:cs="Arial" w:eastAsia="Arial" w:hAnsi="Arial"/>
          <w:sz w:val="22"/>
          <w:szCs w:val="22"/>
          <w:b w:val="1"/>
          <w:bCs w:val="1"/>
          <w:color w:val="auto"/>
        </w:rPr>
        <w:t>Delaware</w:t>
      </w:r>
    </w:p>
    <w:p>
      <w:pPr>
        <w:sectPr>
          <w:pgSz w:w="11900" w:h="16838" w:orient="portrait"/>
          <w:cols w:equalWidth="0" w:num="1">
            <w:col w:w="11020"/>
          </w:cols>
          <w:pgMar w:left="440" w:top="274"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Number of</w:t>
      </w:r>
    </w:p>
    <w:p>
      <w:pPr>
        <w:spacing w:after="0" w:line="23"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jc w:val="center"/>
        <w:ind w:left="200"/>
        <w:spacing w:after="0"/>
        <w:rPr>
          <w:sz w:val="20"/>
          <w:szCs w:val="20"/>
          <w:color w:val="auto"/>
        </w:rPr>
      </w:pPr>
      <w:r>
        <w:rPr>
          <w:rFonts w:ascii="Arial" w:cs="Arial" w:eastAsia="Arial" w:hAnsi="Arial"/>
          <w:sz w:val="17"/>
          <w:szCs w:val="17"/>
          <w:color w:val="auto"/>
        </w:rPr>
        <w:t>Beneficially</w:t>
      </w:r>
    </w:p>
    <w:p>
      <w:pPr>
        <w:spacing w:after="0" w:line="21"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Person</w:t>
      </w:r>
    </w:p>
    <w:p>
      <w:pPr>
        <w:spacing w:after="0" w:line="9"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With</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ind w:left="452" w:hanging="452"/>
        <w:spacing w:after="0"/>
        <w:tabs>
          <w:tab w:leader="none" w:pos="452" w:val="left"/>
        </w:tabs>
        <w:numPr>
          <w:ilvl w:val="0"/>
          <w:numId w:val="17"/>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39" w:lineRule="exact"/>
        <w:rPr>
          <w:sz w:val="20"/>
          <w:szCs w:val="20"/>
          <w:color w:val="auto"/>
        </w:rPr>
      </w:pPr>
    </w:p>
    <w:p>
      <w:pPr>
        <w:ind w:left="472"/>
        <w:spacing w:after="0"/>
        <w:rPr>
          <w:sz w:val="20"/>
          <w:szCs w:val="20"/>
          <w:color w:val="auto"/>
        </w:rPr>
      </w:pPr>
      <w:r>
        <w:rPr>
          <w:rFonts w:ascii="Arial" w:cs="Arial" w:eastAsia="Arial" w:hAnsi="Arial"/>
          <w:sz w:val="22"/>
          <w:szCs w:val="22"/>
          <w:b w:val="1"/>
          <w:bCs w:val="1"/>
          <w:color w:val="auto"/>
        </w:rPr>
        <w:t>0</w:t>
      </w:r>
    </w:p>
    <w:p>
      <w:pPr>
        <w:spacing w:after="0" w:line="30" w:lineRule="exact"/>
        <w:rPr>
          <w:sz w:val="20"/>
          <w:szCs w:val="20"/>
          <w:color w:val="auto"/>
        </w:rPr>
      </w:pPr>
    </w:p>
    <w:p>
      <w:pPr>
        <w:ind w:left="452" w:hanging="452"/>
        <w:spacing w:after="0"/>
        <w:tabs>
          <w:tab w:leader="none" w:pos="452" w:val="left"/>
        </w:tabs>
        <w:numPr>
          <w:ilvl w:val="0"/>
          <w:numId w:val="18"/>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39" w:lineRule="exact"/>
        <w:rPr>
          <w:sz w:val="20"/>
          <w:szCs w:val="20"/>
          <w:color w:val="auto"/>
        </w:rPr>
      </w:pPr>
    </w:p>
    <w:p>
      <w:pPr>
        <w:ind w:left="472"/>
        <w:spacing w:after="0"/>
        <w:rPr>
          <w:sz w:val="20"/>
          <w:szCs w:val="20"/>
          <w:color w:val="auto"/>
        </w:rPr>
      </w:pPr>
      <w:r>
        <w:rPr>
          <w:rFonts w:ascii="Arial" w:cs="Arial" w:eastAsia="Arial" w:hAnsi="Arial"/>
          <w:sz w:val="22"/>
          <w:szCs w:val="22"/>
          <w:b w:val="1"/>
          <w:bCs w:val="1"/>
          <w:color w:val="auto"/>
        </w:rPr>
        <w:t>40,682,961</w:t>
      </w:r>
    </w:p>
    <w:p>
      <w:pPr>
        <w:spacing w:after="0" w:line="30" w:lineRule="exact"/>
        <w:rPr>
          <w:sz w:val="20"/>
          <w:szCs w:val="20"/>
          <w:color w:val="auto"/>
        </w:rPr>
      </w:pPr>
    </w:p>
    <w:p>
      <w:pPr>
        <w:ind w:left="452" w:hanging="452"/>
        <w:spacing w:after="0"/>
        <w:tabs>
          <w:tab w:leader="none" w:pos="452" w:val="left"/>
        </w:tabs>
        <w:numPr>
          <w:ilvl w:val="0"/>
          <w:numId w:val="19"/>
        </w:numPr>
        <w:rPr>
          <w:rFonts w:ascii="Arial" w:cs="Arial" w:eastAsia="Arial" w:hAnsi="Arial"/>
          <w:sz w:val="18"/>
          <w:szCs w:val="18"/>
          <w:color w:val="auto"/>
        </w:rPr>
      </w:pPr>
      <w:r>
        <w:rPr>
          <w:rFonts w:ascii="Arial" w:cs="Arial" w:eastAsia="Arial" w:hAnsi="Arial"/>
          <w:sz w:val="18"/>
          <w:szCs w:val="18"/>
          <w:color w:val="auto"/>
        </w:rPr>
        <w:t>Sole Dispositive Power</w:t>
      </w:r>
    </w:p>
    <w:p>
      <w:pPr>
        <w:spacing w:after="0" w:line="239" w:lineRule="exact"/>
        <w:rPr>
          <w:sz w:val="20"/>
          <w:szCs w:val="20"/>
          <w:color w:val="auto"/>
        </w:rPr>
      </w:pPr>
    </w:p>
    <w:p>
      <w:pPr>
        <w:ind w:left="472"/>
        <w:spacing w:after="0"/>
        <w:rPr>
          <w:sz w:val="20"/>
          <w:szCs w:val="20"/>
          <w:color w:val="auto"/>
        </w:rPr>
      </w:pPr>
      <w:r>
        <w:rPr>
          <w:rFonts w:ascii="Arial" w:cs="Arial" w:eastAsia="Arial" w:hAnsi="Arial"/>
          <w:sz w:val="22"/>
          <w:szCs w:val="22"/>
          <w:b w:val="1"/>
          <w:bCs w:val="1"/>
          <w:color w:val="auto"/>
        </w:rPr>
        <w:t>0</w:t>
      </w:r>
    </w:p>
    <w:p>
      <w:pPr>
        <w:spacing w:after="0" w:line="30" w:lineRule="exact"/>
        <w:rPr>
          <w:sz w:val="20"/>
          <w:szCs w:val="20"/>
          <w:color w:val="auto"/>
        </w:rPr>
      </w:pPr>
    </w:p>
    <w:p>
      <w:pPr>
        <w:ind w:left="452" w:hanging="452"/>
        <w:spacing w:after="0"/>
        <w:tabs>
          <w:tab w:leader="none" w:pos="452" w:val="left"/>
        </w:tabs>
        <w:numPr>
          <w:ilvl w:val="0"/>
          <w:numId w:val="20"/>
        </w:numPr>
        <w:rPr>
          <w:rFonts w:ascii="Arial" w:cs="Arial" w:eastAsia="Arial" w:hAnsi="Arial"/>
          <w:sz w:val="16"/>
          <w:szCs w:val="16"/>
          <w:color w:val="auto"/>
        </w:rPr>
      </w:pPr>
      <w:r>
        <w:rPr>
          <w:rFonts w:ascii="Arial" w:cs="Arial" w:eastAsia="Arial" w:hAnsi="Arial"/>
          <w:sz w:val="16"/>
          <w:szCs w:val="16"/>
          <w:color w:val="auto"/>
        </w:rPr>
        <w:t>Shared Dispositive Power</w:t>
      </w:r>
    </w:p>
    <w:p>
      <w:pPr>
        <w:spacing w:after="0" w:line="262" w:lineRule="exact"/>
        <w:rPr>
          <w:sz w:val="20"/>
          <w:szCs w:val="20"/>
          <w:color w:val="auto"/>
        </w:rPr>
      </w:pPr>
    </w:p>
    <w:p>
      <w:pPr>
        <w:ind w:left="472"/>
        <w:spacing w:after="0"/>
        <w:rPr>
          <w:sz w:val="20"/>
          <w:szCs w:val="20"/>
          <w:color w:val="auto"/>
        </w:rPr>
      </w:pPr>
      <w:r>
        <w:rPr>
          <w:rFonts w:ascii="Arial" w:cs="Arial" w:eastAsia="Arial" w:hAnsi="Arial"/>
          <w:sz w:val="22"/>
          <w:szCs w:val="22"/>
          <w:b w:val="1"/>
          <w:bCs w:val="1"/>
          <w:color w:val="auto"/>
        </w:rPr>
        <w:t>40,682,961</w:t>
      </w:r>
    </w:p>
    <w:p>
      <w:pPr>
        <w:spacing w:after="0" w:line="30" w:lineRule="exact"/>
        <w:rPr>
          <w:sz w:val="20"/>
          <w:szCs w:val="20"/>
          <w:color w:val="auto"/>
        </w:rPr>
      </w:pPr>
    </w:p>
    <w:p>
      <w:pPr>
        <w:sectPr>
          <w:pgSz w:w="11900" w:h="16838" w:orient="portrait"/>
          <w:cols w:equalWidth="0" w:num="2">
            <w:col w:w="1080" w:space="248"/>
            <w:col w:w="9692"/>
          </w:cols>
          <w:pgMar w:left="440" w:top="274" w:right="439" w:bottom="1440" w:gutter="0" w:footer="0" w:header="0"/>
          <w:type w:val="continuous"/>
        </w:sectPr>
      </w:pPr>
    </w:p>
    <w:p>
      <w:pPr>
        <w:ind w:left="640" w:hanging="397"/>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Aggregate Amount Beneficially Owned by Each Reporting Person</w:t>
      </w:r>
    </w:p>
    <w:p>
      <w:pPr>
        <w:spacing w:after="0" w:line="262" w:lineRule="exact"/>
        <w:rPr>
          <w:sz w:val="20"/>
          <w:szCs w:val="20"/>
          <w:color w:val="auto"/>
        </w:rPr>
      </w:pPr>
    </w:p>
    <w:p>
      <w:pPr>
        <w:ind w:left="680"/>
        <w:spacing w:after="0"/>
        <w:rPr>
          <w:sz w:val="20"/>
          <w:szCs w:val="20"/>
          <w:color w:val="auto"/>
        </w:rPr>
      </w:pPr>
      <w:r>
        <w:rPr>
          <w:rFonts w:ascii="Arial" w:cs="Arial" w:eastAsia="Arial" w:hAnsi="Arial"/>
          <w:sz w:val="22"/>
          <w:szCs w:val="22"/>
          <w:b w:val="1"/>
          <w:bCs w:val="1"/>
          <w:color w:val="auto"/>
        </w:rPr>
        <w:t>40,682,961</w:t>
      </w:r>
    </w:p>
    <w:p>
      <w:pPr>
        <w:spacing w:after="0" w:line="30" w:lineRule="exact"/>
        <w:rPr>
          <w:sz w:val="20"/>
          <w:szCs w:val="20"/>
          <w:color w:val="auto"/>
        </w:rPr>
      </w:pPr>
    </w:p>
    <w:p>
      <w:pPr>
        <w:ind w:left="160"/>
        <w:spacing w:after="0"/>
        <w:tabs>
          <w:tab w:leader="none" w:pos="640" w:val="left"/>
        </w:tabs>
        <w:rPr>
          <w:sz w:val="20"/>
          <w:szCs w:val="20"/>
          <w:color w:val="auto"/>
        </w:rPr>
      </w:pPr>
      <w:r>
        <w:rPr>
          <w:rFonts w:ascii="Arial" w:cs="Arial" w:eastAsia="Arial" w:hAnsi="Arial"/>
          <w:sz w:val="16"/>
          <w:szCs w:val="16"/>
          <w:color w:val="auto"/>
        </w:rPr>
        <w:t>10</w:t>
      </w:r>
      <w:r>
        <w:rPr>
          <w:sz w:val="20"/>
          <w:szCs w:val="20"/>
          <w:color w:val="auto"/>
        </w:rPr>
        <w:tab/>
      </w:r>
      <w:r>
        <w:rPr>
          <w:rFonts w:ascii="Arial" w:cs="Arial" w:eastAsia="Arial" w:hAnsi="Arial"/>
          <w:sz w:val="16"/>
          <w:szCs w:val="16"/>
          <w:color w:val="auto"/>
        </w:rPr>
        <w:t>Check if the Aggregate Amount in Row (9) Excludes Certain Shares</w:t>
      </w:r>
    </w:p>
    <w:p>
      <w:pPr>
        <w:spacing w:after="0" w:line="262" w:lineRule="exact"/>
        <w:rPr>
          <w:sz w:val="20"/>
          <w:szCs w:val="20"/>
          <w:color w:val="auto"/>
        </w:rPr>
      </w:pPr>
    </w:p>
    <w:p>
      <w:pPr>
        <w:ind w:left="680"/>
        <w:spacing w:after="0"/>
        <w:rPr>
          <w:sz w:val="20"/>
          <w:szCs w:val="20"/>
          <w:color w:val="auto"/>
        </w:rPr>
      </w:pPr>
      <w:r>
        <w:rPr>
          <w:rFonts w:ascii="Arial" w:cs="Arial" w:eastAsia="Arial" w:hAnsi="Arial"/>
          <w:sz w:val="22"/>
          <w:szCs w:val="22"/>
          <w:b w:val="1"/>
          <w:bCs w:val="1"/>
          <w:color w:val="auto"/>
        </w:rPr>
        <w:t>Not Applicable</w:t>
      </w:r>
    </w:p>
    <w:p>
      <w:pPr>
        <w:spacing w:after="0" w:line="30" w:lineRule="exact"/>
        <w:rPr>
          <w:sz w:val="20"/>
          <w:szCs w:val="20"/>
          <w:color w:val="auto"/>
        </w:rPr>
      </w:pPr>
    </w:p>
    <w:p>
      <w:pPr>
        <w:ind w:left="160"/>
        <w:spacing w:after="0"/>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Percent of Class Represented by Amount in Row 9</w:t>
      </w:r>
    </w:p>
    <w:p>
      <w:pPr>
        <w:spacing w:after="0" w:line="239" w:lineRule="exact"/>
        <w:rPr>
          <w:sz w:val="20"/>
          <w:szCs w:val="20"/>
          <w:color w:val="auto"/>
        </w:rPr>
      </w:pPr>
    </w:p>
    <w:p>
      <w:pPr>
        <w:ind w:left="680"/>
        <w:spacing w:after="0"/>
        <w:rPr>
          <w:sz w:val="20"/>
          <w:szCs w:val="20"/>
          <w:color w:val="auto"/>
        </w:rPr>
      </w:pPr>
      <w:r>
        <w:rPr>
          <w:rFonts w:ascii="Arial" w:cs="Arial" w:eastAsia="Arial" w:hAnsi="Arial"/>
          <w:sz w:val="22"/>
          <w:szCs w:val="22"/>
          <w:b w:val="1"/>
          <w:bCs w:val="1"/>
          <w:color w:val="auto"/>
        </w:rPr>
        <w:t>48.3%</w:t>
      </w:r>
    </w:p>
    <w:p>
      <w:pPr>
        <w:spacing w:after="0" w:line="30" w:lineRule="exact"/>
        <w:rPr>
          <w:sz w:val="20"/>
          <w:szCs w:val="20"/>
          <w:color w:val="auto"/>
        </w:rPr>
      </w:pPr>
    </w:p>
    <w:p>
      <w:pPr>
        <w:ind w:left="160"/>
        <w:spacing w:after="0"/>
        <w:tabs>
          <w:tab w:leader="none" w:pos="6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Type of Reporting Person</w:t>
      </w:r>
    </w:p>
    <w:p>
      <w:pPr>
        <w:spacing w:after="0" w:line="239" w:lineRule="exact"/>
        <w:rPr>
          <w:sz w:val="20"/>
          <w:szCs w:val="20"/>
          <w:color w:val="auto"/>
        </w:rPr>
      </w:pPr>
    </w:p>
    <w:p>
      <w:pPr>
        <w:ind w:left="680"/>
        <w:spacing w:after="0"/>
        <w:rPr>
          <w:sz w:val="20"/>
          <w:szCs w:val="20"/>
          <w:color w:val="auto"/>
        </w:rPr>
      </w:pPr>
      <w:r>
        <w:rPr>
          <w:rFonts w:ascii="Arial" w:cs="Arial" w:eastAsia="Arial" w:hAnsi="Arial"/>
          <w:sz w:val="22"/>
          <w:szCs w:val="22"/>
          <w:b w:val="1"/>
          <w:bCs w:val="1"/>
          <w:color w:val="auto"/>
        </w:rPr>
        <w:t>PN</w:t>
      </w:r>
    </w:p>
    <w:p>
      <w:pPr>
        <w:sectPr>
          <w:pgSz w:w="11900" w:h="16838" w:orient="portrait"/>
          <w:cols w:equalWidth="0" w:num="1">
            <w:col w:w="11020"/>
          </w:cols>
          <w:pgMar w:left="440" w:top="274" w:right="439" w:bottom="1440" w:gutter="0" w:footer="0" w:header="0"/>
          <w:type w:val="continuous"/>
        </w:sectPr>
      </w:pPr>
    </w:p>
    <w:bookmarkStart w:id="3" w:name="page4"/>
    <w:bookmarkEnd w:id="3"/>
    <w:p>
      <w:pPr>
        <w:spacing w:after="0"/>
        <w:tabs>
          <w:tab w:leader="none" w:pos="5220" w:val="left"/>
          <w:tab w:leader="none" w:pos="100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38046W105</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6"/>
          <w:szCs w:val="16"/>
          <w:color w:val="auto"/>
        </w:rPr>
        <w:t>Page 3 of 12</w:t>
      </w:r>
    </w:p>
    <w:p>
      <w:pPr>
        <w:spacing w:after="0" w:line="171" w:lineRule="exact"/>
        <w:rPr>
          <w:sz w:val="20"/>
          <w:szCs w:val="20"/>
          <w:color w:val="auto"/>
        </w:rPr>
      </w:pPr>
    </w:p>
    <w:p>
      <w:pPr>
        <w:ind w:left="660" w:hanging="417"/>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003415" cy="53924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03415" cy="5392420"/>
                    </a:xfrm>
                    <a:prstGeom prst="rect">
                      <a:avLst/>
                    </a:prstGeom>
                    <a:noFill/>
                  </pic:spPr>
                </pic:pic>
              </a:graphicData>
            </a:graphic>
          </wp:anchor>
        </w:drawing>
      </w:r>
    </w:p>
    <w:p>
      <w:pPr>
        <w:spacing w:after="0" w:line="219" w:lineRule="exact"/>
        <w:rPr>
          <w:sz w:val="20"/>
          <w:szCs w:val="20"/>
          <w:color w:val="auto"/>
        </w:rPr>
      </w:pPr>
    </w:p>
    <w:p>
      <w:pPr>
        <w:ind w:left="680"/>
        <w:spacing w:after="0"/>
        <w:rPr>
          <w:sz w:val="20"/>
          <w:szCs w:val="20"/>
          <w:color w:val="auto"/>
        </w:rPr>
      </w:pPr>
      <w:r>
        <w:rPr>
          <w:rFonts w:ascii="Arial" w:cs="Arial" w:eastAsia="Arial" w:hAnsi="Arial"/>
          <w:sz w:val="22"/>
          <w:szCs w:val="22"/>
          <w:b w:val="1"/>
          <w:bCs w:val="1"/>
          <w:color w:val="auto"/>
        </w:rPr>
        <w:t>CCP III AIV VII Holdings, L.P.</w:t>
      </w:r>
    </w:p>
    <w:p>
      <w:pPr>
        <w:spacing w:after="0" w:line="30" w:lineRule="exact"/>
        <w:rPr>
          <w:sz w:val="20"/>
          <w:szCs w:val="20"/>
          <w:color w:val="auto"/>
        </w:rPr>
      </w:pPr>
    </w:p>
    <w:p>
      <w:pPr>
        <w:ind w:left="660" w:hanging="417"/>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660"/>
        <w:spacing w:after="0" w:line="207" w:lineRule="exact"/>
        <w:tabs>
          <w:tab w:leader="none" w:pos="144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60" w:hanging="417"/>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60" w:hanging="417"/>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39" w:lineRule="exact"/>
        <w:rPr>
          <w:sz w:val="20"/>
          <w:szCs w:val="20"/>
          <w:color w:val="auto"/>
        </w:rPr>
      </w:pPr>
    </w:p>
    <w:p>
      <w:pPr>
        <w:ind w:left="680"/>
        <w:spacing w:after="0"/>
        <w:rPr>
          <w:sz w:val="20"/>
          <w:szCs w:val="20"/>
          <w:color w:val="auto"/>
        </w:rPr>
      </w:pPr>
      <w:r>
        <w:rPr>
          <w:rFonts w:ascii="Arial" w:cs="Arial" w:eastAsia="Arial" w:hAnsi="Arial"/>
          <w:sz w:val="22"/>
          <w:szCs w:val="22"/>
          <w:b w:val="1"/>
          <w:bCs w:val="1"/>
          <w:color w:val="auto"/>
        </w:rPr>
        <w:t>Delaware</w:t>
      </w:r>
    </w:p>
    <w:p>
      <w:pPr>
        <w:sectPr>
          <w:pgSz w:w="11900" w:h="16838" w:orient="portrait"/>
          <w:cols w:equalWidth="0" w:num="1">
            <w:col w:w="11020"/>
          </w:cols>
          <w:pgMar w:left="440" w:top="274"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Number of</w:t>
      </w:r>
    </w:p>
    <w:p>
      <w:pPr>
        <w:spacing w:after="0" w:line="23"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jc w:val="center"/>
        <w:ind w:left="200"/>
        <w:spacing w:after="0"/>
        <w:rPr>
          <w:sz w:val="20"/>
          <w:szCs w:val="20"/>
          <w:color w:val="auto"/>
        </w:rPr>
      </w:pPr>
      <w:r>
        <w:rPr>
          <w:rFonts w:ascii="Arial" w:cs="Arial" w:eastAsia="Arial" w:hAnsi="Arial"/>
          <w:sz w:val="17"/>
          <w:szCs w:val="17"/>
          <w:color w:val="auto"/>
        </w:rPr>
        <w:t>Beneficially</w:t>
      </w:r>
    </w:p>
    <w:p>
      <w:pPr>
        <w:spacing w:after="0" w:line="21"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Person</w:t>
      </w:r>
    </w:p>
    <w:p>
      <w:pPr>
        <w:spacing w:after="0" w:line="9"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With</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ind w:left="452" w:hanging="452"/>
        <w:spacing w:after="0"/>
        <w:tabs>
          <w:tab w:leader="none" w:pos="452" w:val="left"/>
        </w:tabs>
        <w:numPr>
          <w:ilvl w:val="0"/>
          <w:numId w:val="26"/>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39" w:lineRule="exact"/>
        <w:rPr>
          <w:sz w:val="20"/>
          <w:szCs w:val="20"/>
          <w:color w:val="auto"/>
        </w:rPr>
      </w:pPr>
    </w:p>
    <w:p>
      <w:pPr>
        <w:ind w:left="472"/>
        <w:spacing w:after="0"/>
        <w:rPr>
          <w:sz w:val="20"/>
          <w:szCs w:val="20"/>
          <w:color w:val="auto"/>
        </w:rPr>
      </w:pPr>
      <w:r>
        <w:rPr>
          <w:rFonts w:ascii="Arial" w:cs="Arial" w:eastAsia="Arial" w:hAnsi="Arial"/>
          <w:sz w:val="22"/>
          <w:szCs w:val="22"/>
          <w:b w:val="1"/>
          <w:bCs w:val="1"/>
          <w:color w:val="auto"/>
        </w:rPr>
        <w:t>0</w:t>
      </w:r>
    </w:p>
    <w:p>
      <w:pPr>
        <w:spacing w:after="0" w:line="30" w:lineRule="exact"/>
        <w:rPr>
          <w:sz w:val="20"/>
          <w:szCs w:val="20"/>
          <w:color w:val="auto"/>
        </w:rPr>
      </w:pPr>
    </w:p>
    <w:p>
      <w:pPr>
        <w:ind w:left="452" w:hanging="452"/>
        <w:spacing w:after="0"/>
        <w:tabs>
          <w:tab w:leader="none" w:pos="452" w:val="left"/>
        </w:tabs>
        <w:numPr>
          <w:ilvl w:val="0"/>
          <w:numId w:val="27"/>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39" w:lineRule="exact"/>
        <w:rPr>
          <w:sz w:val="20"/>
          <w:szCs w:val="20"/>
          <w:color w:val="auto"/>
        </w:rPr>
      </w:pPr>
    </w:p>
    <w:p>
      <w:pPr>
        <w:ind w:left="472"/>
        <w:spacing w:after="0"/>
        <w:rPr>
          <w:sz w:val="20"/>
          <w:szCs w:val="20"/>
          <w:color w:val="auto"/>
        </w:rPr>
      </w:pPr>
      <w:r>
        <w:rPr>
          <w:rFonts w:ascii="Arial" w:cs="Arial" w:eastAsia="Arial" w:hAnsi="Arial"/>
          <w:sz w:val="22"/>
          <w:szCs w:val="22"/>
          <w:b w:val="1"/>
          <w:bCs w:val="1"/>
          <w:color w:val="auto"/>
        </w:rPr>
        <w:t>23,129,333</w:t>
      </w:r>
    </w:p>
    <w:p>
      <w:pPr>
        <w:spacing w:after="0" w:line="30" w:lineRule="exact"/>
        <w:rPr>
          <w:sz w:val="20"/>
          <w:szCs w:val="20"/>
          <w:color w:val="auto"/>
        </w:rPr>
      </w:pPr>
    </w:p>
    <w:p>
      <w:pPr>
        <w:ind w:left="452" w:hanging="452"/>
        <w:spacing w:after="0"/>
        <w:tabs>
          <w:tab w:leader="none" w:pos="452" w:val="left"/>
        </w:tabs>
        <w:numPr>
          <w:ilvl w:val="0"/>
          <w:numId w:val="28"/>
        </w:numPr>
        <w:rPr>
          <w:rFonts w:ascii="Arial" w:cs="Arial" w:eastAsia="Arial" w:hAnsi="Arial"/>
          <w:sz w:val="18"/>
          <w:szCs w:val="18"/>
          <w:color w:val="auto"/>
        </w:rPr>
      </w:pPr>
      <w:r>
        <w:rPr>
          <w:rFonts w:ascii="Arial" w:cs="Arial" w:eastAsia="Arial" w:hAnsi="Arial"/>
          <w:sz w:val="18"/>
          <w:szCs w:val="18"/>
          <w:color w:val="auto"/>
        </w:rPr>
        <w:t>Sole Dispositive Power</w:t>
      </w:r>
    </w:p>
    <w:p>
      <w:pPr>
        <w:spacing w:after="0" w:line="239" w:lineRule="exact"/>
        <w:rPr>
          <w:sz w:val="20"/>
          <w:szCs w:val="20"/>
          <w:color w:val="auto"/>
        </w:rPr>
      </w:pPr>
    </w:p>
    <w:p>
      <w:pPr>
        <w:ind w:left="472"/>
        <w:spacing w:after="0"/>
        <w:rPr>
          <w:sz w:val="20"/>
          <w:szCs w:val="20"/>
          <w:color w:val="auto"/>
        </w:rPr>
      </w:pPr>
      <w:r>
        <w:rPr>
          <w:rFonts w:ascii="Arial" w:cs="Arial" w:eastAsia="Arial" w:hAnsi="Arial"/>
          <w:sz w:val="22"/>
          <w:szCs w:val="22"/>
          <w:b w:val="1"/>
          <w:bCs w:val="1"/>
          <w:color w:val="auto"/>
        </w:rPr>
        <w:t>0</w:t>
      </w:r>
    </w:p>
    <w:p>
      <w:pPr>
        <w:spacing w:after="0" w:line="30" w:lineRule="exact"/>
        <w:rPr>
          <w:sz w:val="20"/>
          <w:szCs w:val="20"/>
          <w:color w:val="auto"/>
        </w:rPr>
      </w:pPr>
    </w:p>
    <w:p>
      <w:pPr>
        <w:ind w:left="452" w:hanging="452"/>
        <w:spacing w:after="0"/>
        <w:tabs>
          <w:tab w:leader="none" w:pos="452" w:val="left"/>
        </w:tabs>
        <w:numPr>
          <w:ilvl w:val="0"/>
          <w:numId w:val="29"/>
        </w:numPr>
        <w:rPr>
          <w:rFonts w:ascii="Arial" w:cs="Arial" w:eastAsia="Arial" w:hAnsi="Arial"/>
          <w:sz w:val="16"/>
          <w:szCs w:val="16"/>
          <w:color w:val="auto"/>
        </w:rPr>
      </w:pPr>
      <w:r>
        <w:rPr>
          <w:rFonts w:ascii="Arial" w:cs="Arial" w:eastAsia="Arial" w:hAnsi="Arial"/>
          <w:sz w:val="16"/>
          <w:szCs w:val="16"/>
          <w:color w:val="auto"/>
        </w:rPr>
        <w:t>Shared Dispositive Power</w:t>
      </w:r>
    </w:p>
    <w:p>
      <w:pPr>
        <w:spacing w:after="0" w:line="262" w:lineRule="exact"/>
        <w:rPr>
          <w:sz w:val="20"/>
          <w:szCs w:val="20"/>
          <w:color w:val="auto"/>
        </w:rPr>
      </w:pPr>
    </w:p>
    <w:p>
      <w:pPr>
        <w:ind w:left="472"/>
        <w:spacing w:after="0"/>
        <w:rPr>
          <w:sz w:val="20"/>
          <w:szCs w:val="20"/>
          <w:color w:val="auto"/>
        </w:rPr>
      </w:pPr>
      <w:r>
        <w:rPr>
          <w:rFonts w:ascii="Arial" w:cs="Arial" w:eastAsia="Arial" w:hAnsi="Arial"/>
          <w:sz w:val="22"/>
          <w:szCs w:val="22"/>
          <w:b w:val="1"/>
          <w:bCs w:val="1"/>
          <w:color w:val="auto"/>
        </w:rPr>
        <w:t>23,129,333</w:t>
      </w:r>
    </w:p>
    <w:p>
      <w:pPr>
        <w:spacing w:after="0" w:line="30" w:lineRule="exact"/>
        <w:rPr>
          <w:sz w:val="20"/>
          <w:szCs w:val="20"/>
          <w:color w:val="auto"/>
        </w:rPr>
      </w:pPr>
    </w:p>
    <w:p>
      <w:pPr>
        <w:sectPr>
          <w:pgSz w:w="11900" w:h="16838" w:orient="portrait"/>
          <w:cols w:equalWidth="0" w:num="2">
            <w:col w:w="1080" w:space="248"/>
            <w:col w:w="9692"/>
          </w:cols>
          <w:pgMar w:left="440" w:top="274" w:right="439" w:bottom="1440" w:gutter="0" w:footer="0" w:header="0"/>
          <w:type w:val="continuous"/>
        </w:sectPr>
      </w:pPr>
    </w:p>
    <w:p>
      <w:pPr>
        <w:ind w:left="640" w:hanging="397"/>
        <w:spacing w:after="0"/>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Aggregate Amount Beneficially Owned by Each Reporting Person</w:t>
      </w:r>
    </w:p>
    <w:p>
      <w:pPr>
        <w:spacing w:after="0" w:line="262" w:lineRule="exact"/>
        <w:rPr>
          <w:sz w:val="20"/>
          <w:szCs w:val="20"/>
          <w:color w:val="auto"/>
        </w:rPr>
      </w:pPr>
    </w:p>
    <w:p>
      <w:pPr>
        <w:ind w:left="680"/>
        <w:spacing w:after="0"/>
        <w:rPr>
          <w:sz w:val="20"/>
          <w:szCs w:val="20"/>
          <w:color w:val="auto"/>
        </w:rPr>
      </w:pPr>
      <w:r>
        <w:rPr>
          <w:rFonts w:ascii="Arial" w:cs="Arial" w:eastAsia="Arial" w:hAnsi="Arial"/>
          <w:sz w:val="22"/>
          <w:szCs w:val="22"/>
          <w:b w:val="1"/>
          <w:bCs w:val="1"/>
          <w:color w:val="auto"/>
        </w:rPr>
        <w:t>23,129,333</w:t>
      </w:r>
    </w:p>
    <w:p>
      <w:pPr>
        <w:spacing w:after="0" w:line="30" w:lineRule="exact"/>
        <w:rPr>
          <w:sz w:val="20"/>
          <w:szCs w:val="20"/>
          <w:color w:val="auto"/>
        </w:rPr>
      </w:pPr>
    </w:p>
    <w:p>
      <w:pPr>
        <w:ind w:left="160"/>
        <w:spacing w:after="0"/>
        <w:tabs>
          <w:tab w:leader="none" w:pos="640" w:val="left"/>
        </w:tabs>
        <w:rPr>
          <w:sz w:val="20"/>
          <w:szCs w:val="20"/>
          <w:color w:val="auto"/>
        </w:rPr>
      </w:pPr>
      <w:r>
        <w:rPr>
          <w:rFonts w:ascii="Arial" w:cs="Arial" w:eastAsia="Arial" w:hAnsi="Arial"/>
          <w:sz w:val="16"/>
          <w:szCs w:val="16"/>
          <w:color w:val="auto"/>
        </w:rPr>
        <w:t>10</w:t>
      </w:r>
      <w:r>
        <w:rPr>
          <w:sz w:val="20"/>
          <w:szCs w:val="20"/>
          <w:color w:val="auto"/>
        </w:rPr>
        <w:tab/>
      </w:r>
      <w:r>
        <w:rPr>
          <w:rFonts w:ascii="Arial" w:cs="Arial" w:eastAsia="Arial" w:hAnsi="Arial"/>
          <w:sz w:val="16"/>
          <w:szCs w:val="16"/>
          <w:color w:val="auto"/>
        </w:rPr>
        <w:t>Check if the Aggregate Amount in Row (9) Excludes Certain Shares</w:t>
      </w:r>
    </w:p>
    <w:p>
      <w:pPr>
        <w:spacing w:after="0" w:line="262" w:lineRule="exact"/>
        <w:rPr>
          <w:sz w:val="20"/>
          <w:szCs w:val="20"/>
          <w:color w:val="auto"/>
        </w:rPr>
      </w:pPr>
    </w:p>
    <w:p>
      <w:pPr>
        <w:ind w:left="680"/>
        <w:spacing w:after="0"/>
        <w:rPr>
          <w:sz w:val="20"/>
          <w:szCs w:val="20"/>
          <w:color w:val="auto"/>
        </w:rPr>
      </w:pPr>
      <w:r>
        <w:rPr>
          <w:rFonts w:ascii="Arial" w:cs="Arial" w:eastAsia="Arial" w:hAnsi="Arial"/>
          <w:sz w:val="22"/>
          <w:szCs w:val="22"/>
          <w:b w:val="1"/>
          <w:bCs w:val="1"/>
          <w:color w:val="auto"/>
        </w:rPr>
        <w:t>Not Applicable</w:t>
      </w:r>
    </w:p>
    <w:p>
      <w:pPr>
        <w:spacing w:after="0" w:line="30" w:lineRule="exact"/>
        <w:rPr>
          <w:sz w:val="20"/>
          <w:szCs w:val="20"/>
          <w:color w:val="auto"/>
        </w:rPr>
      </w:pPr>
    </w:p>
    <w:p>
      <w:pPr>
        <w:ind w:left="160"/>
        <w:spacing w:after="0"/>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Percent of Class Represented by Amount in Row 9</w:t>
      </w:r>
    </w:p>
    <w:p>
      <w:pPr>
        <w:spacing w:after="0" w:line="239" w:lineRule="exact"/>
        <w:rPr>
          <w:sz w:val="20"/>
          <w:szCs w:val="20"/>
          <w:color w:val="auto"/>
        </w:rPr>
      </w:pPr>
    </w:p>
    <w:p>
      <w:pPr>
        <w:ind w:left="680"/>
        <w:spacing w:after="0"/>
        <w:rPr>
          <w:sz w:val="20"/>
          <w:szCs w:val="20"/>
          <w:color w:val="auto"/>
        </w:rPr>
      </w:pPr>
      <w:r>
        <w:rPr>
          <w:rFonts w:ascii="Arial" w:cs="Arial" w:eastAsia="Arial" w:hAnsi="Arial"/>
          <w:sz w:val="22"/>
          <w:szCs w:val="22"/>
          <w:b w:val="1"/>
          <w:bCs w:val="1"/>
          <w:color w:val="auto"/>
        </w:rPr>
        <w:t>27.5%</w:t>
      </w:r>
    </w:p>
    <w:p>
      <w:pPr>
        <w:spacing w:after="0" w:line="30" w:lineRule="exact"/>
        <w:rPr>
          <w:sz w:val="20"/>
          <w:szCs w:val="20"/>
          <w:color w:val="auto"/>
        </w:rPr>
      </w:pPr>
    </w:p>
    <w:p>
      <w:pPr>
        <w:ind w:left="160"/>
        <w:spacing w:after="0"/>
        <w:tabs>
          <w:tab w:leader="none" w:pos="6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Type of Reporting Person</w:t>
      </w:r>
    </w:p>
    <w:p>
      <w:pPr>
        <w:spacing w:after="0" w:line="239" w:lineRule="exact"/>
        <w:rPr>
          <w:sz w:val="20"/>
          <w:szCs w:val="20"/>
          <w:color w:val="auto"/>
        </w:rPr>
      </w:pPr>
    </w:p>
    <w:p>
      <w:pPr>
        <w:ind w:left="680"/>
        <w:spacing w:after="0"/>
        <w:rPr>
          <w:sz w:val="20"/>
          <w:szCs w:val="20"/>
          <w:color w:val="auto"/>
        </w:rPr>
      </w:pPr>
      <w:r>
        <w:rPr>
          <w:rFonts w:ascii="Arial" w:cs="Arial" w:eastAsia="Arial" w:hAnsi="Arial"/>
          <w:sz w:val="22"/>
          <w:szCs w:val="22"/>
          <w:b w:val="1"/>
          <w:bCs w:val="1"/>
          <w:color w:val="auto"/>
        </w:rPr>
        <w:t>PN</w:t>
      </w:r>
    </w:p>
    <w:p>
      <w:pPr>
        <w:sectPr>
          <w:pgSz w:w="11900" w:h="16838" w:orient="portrait"/>
          <w:cols w:equalWidth="0" w:num="1">
            <w:col w:w="11020"/>
          </w:cols>
          <w:pgMar w:left="440" w:top="274" w:right="439" w:bottom="1440" w:gutter="0" w:footer="0" w:header="0"/>
          <w:type w:val="continuous"/>
        </w:sectPr>
      </w:pPr>
    </w:p>
    <w:bookmarkStart w:id="4" w:name="page5"/>
    <w:bookmarkEnd w:id="4"/>
    <w:p>
      <w:pPr>
        <w:spacing w:after="0"/>
        <w:tabs>
          <w:tab w:leader="none" w:pos="5220" w:val="left"/>
          <w:tab w:leader="none" w:pos="100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38046W105</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6"/>
          <w:szCs w:val="16"/>
          <w:color w:val="auto"/>
        </w:rPr>
        <w:t>Page 4 of 12</w:t>
      </w:r>
    </w:p>
    <w:p>
      <w:pPr>
        <w:spacing w:after="0" w:line="171" w:lineRule="exact"/>
        <w:rPr>
          <w:sz w:val="20"/>
          <w:szCs w:val="20"/>
          <w:color w:val="auto"/>
        </w:rPr>
      </w:pPr>
    </w:p>
    <w:p>
      <w:pPr>
        <w:ind w:left="660" w:hanging="417"/>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003415" cy="53917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03415" cy="5391785"/>
                    </a:xfrm>
                    <a:prstGeom prst="rect">
                      <a:avLst/>
                    </a:prstGeom>
                    <a:noFill/>
                  </pic:spPr>
                </pic:pic>
              </a:graphicData>
            </a:graphic>
          </wp:anchor>
        </w:drawing>
      </w:r>
    </w:p>
    <w:p>
      <w:pPr>
        <w:spacing w:after="0" w:line="219" w:lineRule="exact"/>
        <w:rPr>
          <w:sz w:val="20"/>
          <w:szCs w:val="20"/>
          <w:color w:val="auto"/>
        </w:rPr>
      </w:pPr>
    </w:p>
    <w:p>
      <w:pPr>
        <w:ind w:left="680"/>
        <w:spacing w:after="0"/>
        <w:rPr>
          <w:sz w:val="20"/>
          <w:szCs w:val="20"/>
          <w:color w:val="auto"/>
        </w:rPr>
      </w:pPr>
      <w:r>
        <w:rPr>
          <w:rFonts w:ascii="Arial" w:cs="Arial" w:eastAsia="Arial" w:hAnsi="Arial"/>
          <w:sz w:val="22"/>
          <w:szCs w:val="22"/>
          <w:b w:val="1"/>
          <w:bCs w:val="1"/>
          <w:color w:val="auto"/>
        </w:rPr>
        <w:t>CB Blizzard Co-Invest Holdings, L.P.</w:t>
      </w:r>
    </w:p>
    <w:p>
      <w:pPr>
        <w:spacing w:after="0" w:line="30" w:lineRule="exact"/>
        <w:rPr>
          <w:sz w:val="20"/>
          <w:szCs w:val="20"/>
          <w:color w:val="auto"/>
        </w:rPr>
      </w:pPr>
    </w:p>
    <w:p>
      <w:pPr>
        <w:ind w:left="660" w:hanging="417"/>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660"/>
        <w:spacing w:after="0" w:line="207" w:lineRule="exact"/>
        <w:tabs>
          <w:tab w:leader="none" w:pos="144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60" w:hanging="417"/>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60" w:hanging="417"/>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39" w:lineRule="exact"/>
        <w:rPr>
          <w:sz w:val="20"/>
          <w:szCs w:val="20"/>
          <w:color w:val="auto"/>
        </w:rPr>
      </w:pPr>
    </w:p>
    <w:p>
      <w:pPr>
        <w:ind w:left="680"/>
        <w:spacing w:after="0"/>
        <w:rPr>
          <w:sz w:val="20"/>
          <w:szCs w:val="20"/>
          <w:color w:val="auto"/>
        </w:rPr>
      </w:pPr>
      <w:r>
        <w:rPr>
          <w:rFonts w:ascii="Arial" w:cs="Arial" w:eastAsia="Arial" w:hAnsi="Arial"/>
          <w:sz w:val="22"/>
          <w:szCs w:val="22"/>
          <w:b w:val="1"/>
          <w:bCs w:val="1"/>
          <w:color w:val="auto"/>
        </w:rPr>
        <w:t>Delaware</w:t>
      </w:r>
    </w:p>
    <w:p>
      <w:pPr>
        <w:sectPr>
          <w:pgSz w:w="11900" w:h="16838" w:orient="portrait"/>
          <w:cols w:equalWidth="0" w:num="1">
            <w:col w:w="11020"/>
          </w:cols>
          <w:pgMar w:left="440" w:top="274"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Number of</w:t>
      </w:r>
    </w:p>
    <w:p>
      <w:pPr>
        <w:spacing w:after="0" w:line="23"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jc w:val="center"/>
        <w:ind w:left="200"/>
        <w:spacing w:after="0"/>
        <w:rPr>
          <w:sz w:val="20"/>
          <w:szCs w:val="20"/>
          <w:color w:val="auto"/>
        </w:rPr>
      </w:pPr>
      <w:r>
        <w:rPr>
          <w:rFonts w:ascii="Arial" w:cs="Arial" w:eastAsia="Arial" w:hAnsi="Arial"/>
          <w:sz w:val="17"/>
          <w:szCs w:val="17"/>
          <w:color w:val="auto"/>
        </w:rPr>
        <w:t>Beneficially</w:t>
      </w:r>
    </w:p>
    <w:p>
      <w:pPr>
        <w:spacing w:after="0" w:line="21"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Person</w:t>
      </w:r>
    </w:p>
    <w:p>
      <w:pPr>
        <w:spacing w:after="0" w:line="9"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With</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ind w:left="452" w:hanging="452"/>
        <w:spacing w:after="0"/>
        <w:tabs>
          <w:tab w:leader="none" w:pos="452" w:val="left"/>
        </w:tabs>
        <w:numPr>
          <w:ilvl w:val="0"/>
          <w:numId w:val="35"/>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39" w:lineRule="exact"/>
        <w:rPr>
          <w:sz w:val="20"/>
          <w:szCs w:val="20"/>
          <w:color w:val="auto"/>
        </w:rPr>
      </w:pPr>
    </w:p>
    <w:p>
      <w:pPr>
        <w:ind w:left="472"/>
        <w:spacing w:after="0"/>
        <w:rPr>
          <w:sz w:val="20"/>
          <w:szCs w:val="20"/>
          <w:color w:val="auto"/>
        </w:rPr>
      </w:pPr>
      <w:r>
        <w:rPr>
          <w:rFonts w:ascii="Arial" w:cs="Arial" w:eastAsia="Arial" w:hAnsi="Arial"/>
          <w:sz w:val="22"/>
          <w:szCs w:val="22"/>
          <w:b w:val="1"/>
          <w:bCs w:val="1"/>
          <w:color w:val="auto"/>
        </w:rPr>
        <w:t>0</w:t>
      </w:r>
    </w:p>
    <w:p>
      <w:pPr>
        <w:spacing w:after="0" w:line="30" w:lineRule="exact"/>
        <w:rPr>
          <w:sz w:val="20"/>
          <w:szCs w:val="20"/>
          <w:color w:val="auto"/>
        </w:rPr>
      </w:pPr>
    </w:p>
    <w:p>
      <w:pPr>
        <w:ind w:left="452" w:hanging="452"/>
        <w:spacing w:after="0"/>
        <w:tabs>
          <w:tab w:leader="none" w:pos="452" w:val="left"/>
        </w:tabs>
        <w:numPr>
          <w:ilvl w:val="0"/>
          <w:numId w:val="36"/>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39" w:lineRule="exact"/>
        <w:rPr>
          <w:sz w:val="20"/>
          <w:szCs w:val="20"/>
          <w:color w:val="auto"/>
        </w:rPr>
      </w:pPr>
    </w:p>
    <w:p>
      <w:pPr>
        <w:ind w:left="472"/>
        <w:spacing w:after="0"/>
        <w:rPr>
          <w:sz w:val="20"/>
          <w:szCs w:val="20"/>
          <w:color w:val="auto"/>
        </w:rPr>
      </w:pPr>
      <w:r>
        <w:rPr>
          <w:rFonts w:ascii="Arial" w:cs="Arial" w:eastAsia="Arial" w:hAnsi="Arial"/>
          <w:sz w:val="22"/>
          <w:szCs w:val="22"/>
          <w:b w:val="1"/>
          <w:bCs w:val="1"/>
          <w:color w:val="auto"/>
        </w:rPr>
        <w:t>17,553,628</w:t>
      </w:r>
    </w:p>
    <w:p>
      <w:pPr>
        <w:spacing w:after="0" w:line="30" w:lineRule="exact"/>
        <w:rPr>
          <w:sz w:val="20"/>
          <w:szCs w:val="20"/>
          <w:color w:val="auto"/>
        </w:rPr>
      </w:pPr>
    </w:p>
    <w:p>
      <w:pPr>
        <w:ind w:left="452" w:hanging="452"/>
        <w:spacing w:after="0"/>
        <w:tabs>
          <w:tab w:leader="none" w:pos="452" w:val="left"/>
        </w:tabs>
        <w:numPr>
          <w:ilvl w:val="0"/>
          <w:numId w:val="37"/>
        </w:numPr>
        <w:rPr>
          <w:rFonts w:ascii="Arial" w:cs="Arial" w:eastAsia="Arial" w:hAnsi="Arial"/>
          <w:sz w:val="18"/>
          <w:szCs w:val="18"/>
          <w:color w:val="auto"/>
        </w:rPr>
      </w:pPr>
      <w:r>
        <w:rPr>
          <w:rFonts w:ascii="Arial" w:cs="Arial" w:eastAsia="Arial" w:hAnsi="Arial"/>
          <w:sz w:val="18"/>
          <w:szCs w:val="18"/>
          <w:color w:val="auto"/>
        </w:rPr>
        <w:t>Sole Dispositive Power</w:t>
      </w:r>
    </w:p>
    <w:p>
      <w:pPr>
        <w:spacing w:after="0" w:line="239" w:lineRule="exact"/>
        <w:rPr>
          <w:sz w:val="20"/>
          <w:szCs w:val="20"/>
          <w:color w:val="auto"/>
        </w:rPr>
      </w:pPr>
    </w:p>
    <w:p>
      <w:pPr>
        <w:ind w:left="472"/>
        <w:spacing w:after="0"/>
        <w:rPr>
          <w:sz w:val="20"/>
          <w:szCs w:val="20"/>
          <w:color w:val="auto"/>
        </w:rPr>
      </w:pPr>
      <w:r>
        <w:rPr>
          <w:rFonts w:ascii="Arial" w:cs="Arial" w:eastAsia="Arial" w:hAnsi="Arial"/>
          <w:sz w:val="22"/>
          <w:szCs w:val="22"/>
          <w:b w:val="1"/>
          <w:bCs w:val="1"/>
          <w:color w:val="auto"/>
        </w:rPr>
        <w:t>0</w:t>
      </w:r>
    </w:p>
    <w:p>
      <w:pPr>
        <w:spacing w:after="0" w:line="30" w:lineRule="exact"/>
        <w:rPr>
          <w:sz w:val="20"/>
          <w:szCs w:val="20"/>
          <w:color w:val="auto"/>
        </w:rPr>
      </w:pPr>
    </w:p>
    <w:p>
      <w:pPr>
        <w:ind w:left="452" w:hanging="452"/>
        <w:spacing w:after="0"/>
        <w:tabs>
          <w:tab w:leader="none" w:pos="452" w:val="left"/>
        </w:tabs>
        <w:numPr>
          <w:ilvl w:val="0"/>
          <w:numId w:val="38"/>
        </w:numPr>
        <w:rPr>
          <w:rFonts w:ascii="Arial" w:cs="Arial" w:eastAsia="Arial" w:hAnsi="Arial"/>
          <w:sz w:val="16"/>
          <w:szCs w:val="16"/>
          <w:color w:val="auto"/>
        </w:rPr>
      </w:pPr>
      <w:r>
        <w:rPr>
          <w:rFonts w:ascii="Arial" w:cs="Arial" w:eastAsia="Arial" w:hAnsi="Arial"/>
          <w:sz w:val="16"/>
          <w:szCs w:val="16"/>
          <w:color w:val="auto"/>
        </w:rPr>
        <w:t>Shared Dispositive Power</w:t>
      </w:r>
    </w:p>
    <w:p>
      <w:pPr>
        <w:spacing w:after="0" w:line="262" w:lineRule="exact"/>
        <w:rPr>
          <w:sz w:val="20"/>
          <w:szCs w:val="20"/>
          <w:color w:val="auto"/>
        </w:rPr>
      </w:pPr>
    </w:p>
    <w:p>
      <w:pPr>
        <w:ind w:left="472"/>
        <w:spacing w:after="0"/>
        <w:rPr>
          <w:sz w:val="20"/>
          <w:szCs w:val="20"/>
          <w:color w:val="auto"/>
        </w:rPr>
      </w:pPr>
      <w:r>
        <w:rPr>
          <w:rFonts w:ascii="Arial" w:cs="Arial" w:eastAsia="Arial" w:hAnsi="Arial"/>
          <w:sz w:val="22"/>
          <w:szCs w:val="22"/>
          <w:b w:val="1"/>
          <w:bCs w:val="1"/>
          <w:color w:val="auto"/>
        </w:rPr>
        <w:t>17,553,628</w:t>
      </w:r>
    </w:p>
    <w:p>
      <w:pPr>
        <w:spacing w:after="0" w:line="30" w:lineRule="exact"/>
        <w:rPr>
          <w:sz w:val="20"/>
          <w:szCs w:val="20"/>
          <w:color w:val="auto"/>
        </w:rPr>
      </w:pPr>
    </w:p>
    <w:p>
      <w:pPr>
        <w:sectPr>
          <w:pgSz w:w="11900" w:h="16838" w:orient="portrait"/>
          <w:cols w:equalWidth="0" w:num="2">
            <w:col w:w="1080" w:space="248"/>
            <w:col w:w="9692"/>
          </w:cols>
          <w:pgMar w:left="440" w:top="274" w:right="439" w:bottom="1440" w:gutter="0" w:footer="0" w:header="0"/>
          <w:type w:val="continuous"/>
        </w:sectPr>
      </w:pPr>
    </w:p>
    <w:p>
      <w:pPr>
        <w:ind w:left="640" w:hanging="397"/>
        <w:spacing w:after="0"/>
        <w:tabs>
          <w:tab w:leader="none" w:pos="6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Aggregate Amount Beneficially Owned by Each Reporting Person</w:t>
      </w:r>
    </w:p>
    <w:p>
      <w:pPr>
        <w:spacing w:after="0" w:line="262" w:lineRule="exact"/>
        <w:rPr>
          <w:sz w:val="20"/>
          <w:szCs w:val="20"/>
          <w:color w:val="auto"/>
        </w:rPr>
      </w:pPr>
    </w:p>
    <w:p>
      <w:pPr>
        <w:ind w:left="680"/>
        <w:spacing w:after="0"/>
        <w:rPr>
          <w:sz w:val="20"/>
          <w:szCs w:val="20"/>
          <w:color w:val="auto"/>
        </w:rPr>
      </w:pPr>
      <w:r>
        <w:rPr>
          <w:rFonts w:ascii="Arial" w:cs="Arial" w:eastAsia="Arial" w:hAnsi="Arial"/>
          <w:sz w:val="22"/>
          <w:szCs w:val="22"/>
          <w:b w:val="1"/>
          <w:bCs w:val="1"/>
          <w:color w:val="auto"/>
        </w:rPr>
        <w:t>17,553,628</w:t>
      </w:r>
    </w:p>
    <w:p>
      <w:pPr>
        <w:spacing w:after="0" w:line="30" w:lineRule="exact"/>
        <w:rPr>
          <w:sz w:val="20"/>
          <w:szCs w:val="20"/>
          <w:color w:val="auto"/>
        </w:rPr>
      </w:pPr>
    </w:p>
    <w:p>
      <w:pPr>
        <w:ind w:left="160"/>
        <w:spacing w:after="0"/>
        <w:tabs>
          <w:tab w:leader="none" w:pos="640" w:val="left"/>
        </w:tabs>
        <w:rPr>
          <w:sz w:val="20"/>
          <w:szCs w:val="20"/>
          <w:color w:val="auto"/>
        </w:rPr>
      </w:pPr>
      <w:r>
        <w:rPr>
          <w:rFonts w:ascii="Arial" w:cs="Arial" w:eastAsia="Arial" w:hAnsi="Arial"/>
          <w:sz w:val="16"/>
          <w:szCs w:val="16"/>
          <w:color w:val="auto"/>
        </w:rPr>
        <w:t>10</w:t>
      </w:r>
      <w:r>
        <w:rPr>
          <w:sz w:val="20"/>
          <w:szCs w:val="20"/>
          <w:color w:val="auto"/>
        </w:rPr>
        <w:tab/>
      </w:r>
      <w:r>
        <w:rPr>
          <w:rFonts w:ascii="Arial" w:cs="Arial" w:eastAsia="Arial" w:hAnsi="Arial"/>
          <w:sz w:val="16"/>
          <w:szCs w:val="16"/>
          <w:color w:val="auto"/>
        </w:rPr>
        <w:t>Check if the Aggregate Amount in Row (9) Excludes Certain Shares</w:t>
      </w:r>
    </w:p>
    <w:p>
      <w:pPr>
        <w:spacing w:after="0" w:line="262" w:lineRule="exact"/>
        <w:rPr>
          <w:sz w:val="20"/>
          <w:szCs w:val="20"/>
          <w:color w:val="auto"/>
        </w:rPr>
      </w:pPr>
    </w:p>
    <w:p>
      <w:pPr>
        <w:ind w:left="680"/>
        <w:spacing w:after="0"/>
        <w:rPr>
          <w:sz w:val="20"/>
          <w:szCs w:val="20"/>
          <w:color w:val="auto"/>
        </w:rPr>
      </w:pPr>
      <w:r>
        <w:rPr>
          <w:rFonts w:ascii="Arial" w:cs="Arial" w:eastAsia="Arial" w:hAnsi="Arial"/>
          <w:sz w:val="22"/>
          <w:szCs w:val="22"/>
          <w:b w:val="1"/>
          <w:bCs w:val="1"/>
          <w:color w:val="auto"/>
        </w:rPr>
        <w:t>Not Applicable</w:t>
      </w:r>
    </w:p>
    <w:p>
      <w:pPr>
        <w:spacing w:after="0" w:line="30" w:lineRule="exact"/>
        <w:rPr>
          <w:sz w:val="20"/>
          <w:szCs w:val="20"/>
          <w:color w:val="auto"/>
        </w:rPr>
      </w:pPr>
    </w:p>
    <w:p>
      <w:pPr>
        <w:ind w:left="160"/>
        <w:spacing w:after="0"/>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Percent of Class Represented by Amount in Row 9</w:t>
      </w:r>
    </w:p>
    <w:p>
      <w:pPr>
        <w:spacing w:after="0" w:line="239" w:lineRule="exact"/>
        <w:rPr>
          <w:sz w:val="20"/>
          <w:szCs w:val="20"/>
          <w:color w:val="auto"/>
        </w:rPr>
      </w:pPr>
    </w:p>
    <w:p>
      <w:pPr>
        <w:ind w:left="680"/>
        <w:spacing w:after="0"/>
        <w:rPr>
          <w:sz w:val="20"/>
          <w:szCs w:val="20"/>
          <w:color w:val="auto"/>
        </w:rPr>
      </w:pPr>
      <w:r>
        <w:rPr>
          <w:rFonts w:ascii="Arial" w:cs="Arial" w:eastAsia="Arial" w:hAnsi="Arial"/>
          <w:sz w:val="22"/>
          <w:szCs w:val="22"/>
          <w:b w:val="1"/>
          <w:bCs w:val="1"/>
          <w:color w:val="auto"/>
        </w:rPr>
        <w:t>20.9%</w:t>
      </w:r>
    </w:p>
    <w:p>
      <w:pPr>
        <w:spacing w:after="0" w:line="30" w:lineRule="exact"/>
        <w:rPr>
          <w:sz w:val="20"/>
          <w:szCs w:val="20"/>
          <w:color w:val="auto"/>
        </w:rPr>
      </w:pPr>
    </w:p>
    <w:p>
      <w:pPr>
        <w:ind w:left="160"/>
        <w:spacing w:after="0"/>
        <w:tabs>
          <w:tab w:leader="none" w:pos="6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Type of Reporting Person</w:t>
      </w:r>
    </w:p>
    <w:p>
      <w:pPr>
        <w:spacing w:after="0" w:line="239" w:lineRule="exact"/>
        <w:rPr>
          <w:sz w:val="20"/>
          <w:szCs w:val="20"/>
          <w:color w:val="auto"/>
        </w:rPr>
      </w:pPr>
    </w:p>
    <w:p>
      <w:pPr>
        <w:ind w:left="680"/>
        <w:spacing w:after="0"/>
        <w:rPr>
          <w:sz w:val="20"/>
          <w:szCs w:val="20"/>
          <w:color w:val="auto"/>
        </w:rPr>
      </w:pPr>
      <w:r>
        <w:rPr>
          <w:rFonts w:ascii="Arial" w:cs="Arial" w:eastAsia="Arial" w:hAnsi="Arial"/>
          <w:sz w:val="22"/>
          <w:szCs w:val="22"/>
          <w:b w:val="1"/>
          <w:bCs w:val="1"/>
          <w:color w:val="auto"/>
        </w:rPr>
        <w:t>PN</w:t>
      </w:r>
    </w:p>
    <w:p>
      <w:pPr>
        <w:sectPr>
          <w:pgSz w:w="11900" w:h="16838" w:orient="portrait"/>
          <w:cols w:equalWidth="0" w:num="1">
            <w:col w:w="11020"/>
          </w:cols>
          <w:pgMar w:left="440" w:top="274" w:right="439" w:bottom="1440" w:gutter="0" w:footer="0" w:header="0"/>
          <w:type w:val="continuous"/>
        </w:sectPr>
      </w:pPr>
    </w:p>
    <w:bookmarkStart w:id="5" w:name="page6"/>
    <w:bookmarkEnd w:id="5"/>
    <w:p>
      <w:pPr>
        <w:spacing w:after="0"/>
        <w:tabs>
          <w:tab w:leader="none" w:pos="5220" w:val="left"/>
          <w:tab w:leader="none" w:pos="100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38046W105</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6"/>
          <w:szCs w:val="16"/>
          <w:color w:val="auto"/>
        </w:rPr>
        <w:t>Page 5 of 12</w:t>
      </w:r>
    </w:p>
    <w:p>
      <w:pPr>
        <w:spacing w:after="0" w:line="171" w:lineRule="exact"/>
        <w:rPr>
          <w:sz w:val="20"/>
          <w:szCs w:val="20"/>
          <w:color w:val="auto"/>
        </w:rPr>
      </w:pPr>
    </w:p>
    <w:p>
      <w:pPr>
        <w:ind w:left="660" w:hanging="417"/>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003415" cy="53924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03415" cy="5392420"/>
                    </a:xfrm>
                    <a:prstGeom prst="rect">
                      <a:avLst/>
                    </a:prstGeom>
                    <a:noFill/>
                  </pic:spPr>
                </pic:pic>
              </a:graphicData>
            </a:graphic>
          </wp:anchor>
        </w:drawing>
      </w:r>
    </w:p>
    <w:p>
      <w:pPr>
        <w:spacing w:after="0" w:line="219" w:lineRule="exact"/>
        <w:rPr>
          <w:sz w:val="20"/>
          <w:szCs w:val="20"/>
          <w:color w:val="auto"/>
        </w:rPr>
      </w:pPr>
    </w:p>
    <w:p>
      <w:pPr>
        <w:ind w:left="680"/>
        <w:spacing w:after="0"/>
        <w:rPr>
          <w:sz w:val="20"/>
          <w:szCs w:val="20"/>
          <w:color w:val="auto"/>
        </w:rPr>
      </w:pPr>
      <w:r>
        <w:rPr>
          <w:rFonts w:ascii="Arial" w:cs="Arial" w:eastAsia="Arial" w:hAnsi="Arial"/>
          <w:sz w:val="22"/>
          <w:szCs w:val="22"/>
          <w:b w:val="1"/>
          <w:bCs w:val="1"/>
          <w:color w:val="auto"/>
        </w:rPr>
        <w:t>Blizzard Aggregator, LLC</w:t>
      </w:r>
    </w:p>
    <w:p>
      <w:pPr>
        <w:spacing w:after="0" w:line="30" w:lineRule="exact"/>
        <w:rPr>
          <w:sz w:val="20"/>
          <w:szCs w:val="20"/>
          <w:color w:val="auto"/>
        </w:rPr>
      </w:pPr>
    </w:p>
    <w:p>
      <w:pPr>
        <w:ind w:left="660" w:hanging="417"/>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660"/>
        <w:spacing w:after="0" w:line="207" w:lineRule="exact"/>
        <w:tabs>
          <w:tab w:leader="none" w:pos="144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60" w:hanging="417"/>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60" w:hanging="417"/>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39" w:lineRule="exact"/>
        <w:rPr>
          <w:sz w:val="20"/>
          <w:szCs w:val="20"/>
          <w:color w:val="auto"/>
        </w:rPr>
      </w:pPr>
    </w:p>
    <w:p>
      <w:pPr>
        <w:ind w:left="680"/>
        <w:spacing w:after="0"/>
        <w:rPr>
          <w:sz w:val="20"/>
          <w:szCs w:val="20"/>
          <w:color w:val="auto"/>
        </w:rPr>
      </w:pPr>
      <w:r>
        <w:rPr>
          <w:rFonts w:ascii="Arial" w:cs="Arial" w:eastAsia="Arial" w:hAnsi="Arial"/>
          <w:sz w:val="22"/>
          <w:szCs w:val="22"/>
          <w:b w:val="1"/>
          <w:bCs w:val="1"/>
          <w:color w:val="auto"/>
        </w:rPr>
        <w:t>Delaware</w:t>
      </w:r>
    </w:p>
    <w:p>
      <w:pPr>
        <w:sectPr>
          <w:pgSz w:w="11900" w:h="16838" w:orient="portrait"/>
          <w:cols w:equalWidth="0" w:num="1">
            <w:col w:w="11020"/>
          </w:cols>
          <w:pgMar w:left="440" w:top="274"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Number of</w:t>
      </w:r>
    </w:p>
    <w:p>
      <w:pPr>
        <w:spacing w:after="0" w:line="23"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jc w:val="center"/>
        <w:ind w:left="200"/>
        <w:spacing w:after="0"/>
        <w:rPr>
          <w:sz w:val="20"/>
          <w:szCs w:val="20"/>
          <w:color w:val="auto"/>
        </w:rPr>
      </w:pPr>
      <w:r>
        <w:rPr>
          <w:rFonts w:ascii="Arial" w:cs="Arial" w:eastAsia="Arial" w:hAnsi="Arial"/>
          <w:sz w:val="17"/>
          <w:szCs w:val="17"/>
          <w:color w:val="auto"/>
        </w:rPr>
        <w:t>Beneficially</w:t>
      </w:r>
    </w:p>
    <w:p>
      <w:pPr>
        <w:spacing w:after="0" w:line="21"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Person</w:t>
      </w:r>
    </w:p>
    <w:p>
      <w:pPr>
        <w:spacing w:after="0" w:line="9"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With</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ind w:left="452" w:hanging="452"/>
        <w:spacing w:after="0"/>
        <w:tabs>
          <w:tab w:leader="none" w:pos="452" w:val="left"/>
        </w:tabs>
        <w:numPr>
          <w:ilvl w:val="0"/>
          <w:numId w:val="44"/>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39" w:lineRule="exact"/>
        <w:rPr>
          <w:sz w:val="20"/>
          <w:szCs w:val="20"/>
          <w:color w:val="auto"/>
        </w:rPr>
      </w:pPr>
    </w:p>
    <w:p>
      <w:pPr>
        <w:ind w:left="472"/>
        <w:spacing w:after="0"/>
        <w:rPr>
          <w:sz w:val="20"/>
          <w:szCs w:val="20"/>
          <w:color w:val="auto"/>
        </w:rPr>
      </w:pPr>
      <w:r>
        <w:rPr>
          <w:rFonts w:ascii="Arial" w:cs="Arial" w:eastAsia="Arial" w:hAnsi="Arial"/>
          <w:sz w:val="22"/>
          <w:szCs w:val="22"/>
          <w:b w:val="1"/>
          <w:bCs w:val="1"/>
          <w:color w:val="auto"/>
        </w:rPr>
        <w:t>0</w:t>
      </w:r>
    </w:p>
    <w:p>
      <w:pPr>
        <w:spacing w:after="0" w:line="30" w:lineRule="exact"/>
        <w:rPr>
          <w:sz w:val="20"/>
          <w:szCs w:val="20"/>
          <w:color w:val="auto"/>
        </w:rPr>
      </w:pPr>
    </w:p>
    <w:p>
      <w:pPr>
        <w:ind w:left="452" w:hanging="452"/>
        <w:spacing w:after="0"/>
        <w:tabs>
          <w:tab w:leader="none" w:pos="452" w:val="left"/>
        </w:tabs>
        <w:numPr>
          <w:ilvl w:val="0"/>
          <w:numId w:val="45"/>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39" w:lineRule="exact"/>
        <w:rPr>
          <w:sz w:val="20"/>
          <w:szCs w:val="20"/>
          <w:color w:val="auto"/>
        </w:rPr>
      </w:pPr>
    </w:p>
    <w:p>
      <w:pPr>
        <w:ind w:left="472"/>
        <w:spacing w:after="0"/>
        <w:rPr>
          <w:sz w:val="20"/>
          <w:szCs w:val="20"/>
          <w:color w:val="auto"/>
        </w:rPr>
      </w:pPr>
      <w:r>
        <w:rPr>
          <w:rFonts w:ascii="Arial" w:cs="Arial" w:eastAsia="Arial" w:hAnsi="Arial"/>
          <w:sz w:val="22"/>
          <w:szCs w:val="22"/>
          <w:b w:val="1"/>
          <w:bCs w:val="1"/>
          <w:color w:val="auto"/>
        </w:rPr>
        <w:t>80,792,677</w:t>
      </w:r>
    </w:p>
    <w:p>
      <w:pPr>
        <w:spacing w:after="0" w:line="30" w:lineRule="exact"/>
        <w:rPr>
          <w:sz w:val="20"/>
          <w:szCs w:val="20"/>
          <w:color w:val="auto"/>
        </w:rPr>
      </w:pPr>
    </w:p>
    <w:p>
      <w:pPr>
        <w:ind w:left="452" w:hanging="452"/>
        <w:spacing w:after="0"/>
        <w:tabs>
          <w:tab w:leader="none" w:pos="452" w:val="left"/>
        </w:tabs>
        <w:numPr>
          <w:ilvl w:val="0"/>
          <w:numId w:val="46"/>
        </w:numPr>
        <w:rPr>
          <w:rFonts w:ascii="Arial" w:cs="Arial" w:eastAsia="Arial" w:hAnsi="Arial"/>
          <w:sz w:val="18"/>
          <w:szCs w:val="18"/>
          <w:color w:val="auto"/>
        </w:rPr>
      </w:pPr>
      <w:r>
        <w:rPr>
          <w:rFonts w:ascii="Arial" w:cs="Arial" w:eastAsia="Arial" w:hAnsi="Arial"/>
          <w:sz w:val="18"/>
          <w:szCs w:val="18"/>
          <w:color w:val="auto"/>
        </w:rPr>
        <w:t>Sole Dispositive Power</w:t>
      </w:r>
    </w:p>
    <w:p>
      <w:pPr>
        <w:spacing w:after="0" w:line="239" w:lineRule="exact"/>
        <w:rPr>
          <w:sz w:val="20"/>
          <w:szCs w:val="20"/>
          <w:color w:val="auto"/>
        </w:rPr>
      </w:pPr>
    </w:p>
    <w:p>
      <w:pPr>
        <w:ind w:left="472"/>
        <w:spacing w:after="0"/>
        <w:rPr>
          <w:sz w:val="20"/>
          <w:szCs w:val="20"/>
          <w:color w:val="auto"/>
        </w:rPr>
      </w:pPr>
      <w:r>
        <w:rPr>
          <w:rFonts w:ascii="Arial" w:cs="Arial" w:eastAsia="Arial" w:hAnsi="Arial"/>
          <w:sz w:val="22"/>
          <w:szCs w:val="22"/>
          <w:b w:val="1"/>
          <w:bCs w:val="1"/>
          <w:color w:val="auto"/>
        </w:rPr>
        <w:t>0</w:t>
      </w:r>
    </w:p>
    <w:p>
      <w:pPr>
        <w:spacing w:after="0" w:line="30" w:lineRule="exact"/>
        <w:rPr>
          <w:sz w:val="20"/>
          <w:szCs w:val="20"/>
          <w:color w:val="auto"/>
        </w:rPr>
      </w:pPr>
    </w:p>
    <w:p>
      <w:pPr>
        <w:ind w:left="452" w:hanging="452"/>
        <w:spacing w:after="0"/>
        <w:tabs>
          <w:tab w:leader="none" w:pos="452" w:val="left"/>
        </w:tabs>
        <w:numPr>
          <w:ilvl w:val="0"/>
          <w:numId w:val="47"/>
        </w:numPr>
        <w:rPr>
          <w:rFonts w:ascii="Arial" w:cs="Arial" w:eastAsia="Arial" w:hAnsi="Arial"/>
          <w:sz w:val="16"/>
          <w:szCs w:val="16"/>
          <w:color w:val="auto"/>
        </w:rPr>
      </w:pPr>
      <w:r>
        <w:rPr>
          <w:rFonts w:ascii="Arial" w:cs="Arial" w:eastAsia="Arial" w:hAnsi="Arial"/>
          <w:sz w:val="16"/>
          <w:szCs w:val="16"/>
          <w:color w:val="auto"/>
        </w:rPr>
        <w:t>Shared Dispositive Power</w:t>
      </w:r>
    </w:p>
    <w:p>
      <w:pPr>
        <w:spacing w:after="0" w:line="262" w:lineRule="exact"/>
        <w:rPr>
          <w:sz w:val="20"/>
          <w:szCs w:val="20"/>
          <w:color w:val="auto"/>
        </w:rPr>
      </w:pPr>
    </w:p>
    <w:p>
      <w:pPr>
        <w:ind w:left="472"/>
        <w:spacing w:after="0"/>
        <w:rPr>
          <w:sz w:val="20"/>
          <w:szCs w:val="20"/>
          <w:color w:val="auto"/>
        </w:rPr>
      </w:pPr>
      <w:r>
        <w:rPr>
          <w:rFonts w:ascii="Arial" w:cs="Arial" w:eastAsia="Arial" w:hAnsi="Arial"/>
          <w:sz w:val="22"/>
          <w:szCs w:val="22"/>
          <w:b w:val="1"/>
          <w:bCs w:val="1"/>
          <w:color w:val="auto"/>
        </w:rPr>
        <w:t>80,792,677</w:t>
      </w:r>
    </w:p>
    <w:p>
      <w:pPr>
        <w:spacing w:after="0" w:line="30" w:lineRule="exact"/>
        <w:rPr>
          <w:sz w:val="20"/>
          <w:szCs w:val="20"/>
          <w:color w:val="auto"/>
        </w:rPr>
      </w:pPr>
    </w:p>
    <w:p>
      <w:pPr>
        <w:sectPr>
          <w:pgSz w:w="11900" w:h="16838" w:orient="portrait"/>
          <w:cols w:equalWidth="0" w:num="2">
            <w:col w:w="1080" w:space="248"/>
            <w:col w:w="9692"/>
          </w:cols>
          <w:pgMar w:left="440" w:top="274" w:right="439" w:bottom="1440" w:gutter="0" w:footer="0" w:header="0"/>
          <w:type w:val="continuous"/>
        </w:sectPr>
      </w:pPr>
    </w:p>
    <w:p>
      <w:pPr>
        <w:ind w:left="640" w:hanging="397"/>
        <w:spacing w:after="0"/>
        <w:tabs>
          <w:tab w:leader="none" w:pos="6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Aggregate Amount Beneficially Owned by Each Reporting Person</w:t>
      </w:r>
    </w:p>
    <w:p>
      <w:pPr>
        <w:spacing w:after="0" w:line="262" w:lineRule="exact"/>
        <w:rPr>
          <w:sz w:val="20"/>
          <w:szCs w:val="20"/>
          <w:color w:val="auto"/>
        </w:rPr>
      </w:pPr>
    </w:p>
    <w:p>
      <w:pPr>
        <w:ind w:left="680"/>
        <w:spacing w:after="0"/>
        <w:rPr>
          <w:sz w:val="20"/>
          <w:szCs w:val="20"/>
          <w:color w:val="auto"/>
        </w:rPr>
      </w:pPr>
      <w:r>
        <w:rPr>
          <w:rFonts w:ascii="Arial" w:cs="Arial" w:eastAsia="Arial" w:hAnsi="Arial"/>
          <w:sz w:val="22"/>
          <w:szCs w:val="22"/>
          <w:b w:val="1"/>
          <w:bCs w:val="1"/>
          <w:color w:val="auto"/>
        </w:rPr>
        <w:t>80,792,677</w:t>
      </w:r>
    </w:p>
    <w:p>
      <w:pPr>
        <w:spacing w:after="0" w:line="30" w:lineRule="exact"/>
        <w:rPr>
          <w:sz w:val="20"/>
          <w:szCs w:val="20"/>
          <w:color w:val="auto"/>
        </w:rPr>
      </w:pPr>
    </w:p>
    <w:p>
      <w:pPr>
        <w:ind w:left="160"/>
        <w:spacing w:after="0"/>
        <w:tabs>
          <w:tab w:leader="none" w:pos="640" w:val="left"/>
        </w:tabs>
        <w:rPr>
          <w:sz w:val="20"/>
          <w:szCs w:val="20"/>
          <w:color w:val="auto"/>
        </w:rPr>
      </w:pPr>
      <w:r>
        <w:rPr>
          <w:rFonts w:ascii="Arial" w:cs="Arial" w:eastAsia="Arial" w:hAnsi="Arial"/>
          <w:sz w:val="16"/>
          <w:szCs w:val="16"/>
          <w:color w:val="auto"/>
        </w:rPr>
        <w:t>10</w:t>
      </w:r>
      <w:r>
        <w:rPr>
          <w:sz w:val="20"/>
          <w:szCs w:val="20"/>
          <w:color w:val="auto"/>
        </w:rPr>
        <w:tab/>
      </w:r>
      <w:r>
        <w:rPr>
          <w:rFonts w:ascii="Arial" w:cs="Arial" w:eastAsia="Arial" w:hAnsi="Arial"/>
          <w:sz w:val="16"/>
          <w:szCs w:val="16"/>
          <w:color w:val="auto"/>
        </w:rPr>
        <w:t>Check if the Aggregate Amount in Row (9) Excludes Certain Shares</w:t>
      </w:r>
    </w:p>
    <w:p>
      <w:pPr>
        <w:spacing w:after="0" w:line="262" w:lineRule="exact"/>
        <w:rPr>
          <w:sz w:val="20"/>
          <w:szCs w:val="20"/>
          <w:color w:val="auto"/>
        </w:rPr>
      </w:pPr>
    </w:p>
    <w:p>
      <w:pPr>
        <w:ind w:left="680"/>
        <w:spacing w:after="0"/>
        <w:rPr>
          <w:sz w:val="20"/>
          <w:szCs w:val="20"/>
          <w:color w:val="auto"/>
        </w:rPr>
      </w:pPr>
      <w:r>
        <w:rPr>
          <w:rFonts w:ascii="Arial" w:cs="Arial" w:eastAsia="Arial" w:hAnsi="Arial"/>
          <w:sz w:val="22"/>
          <w:szCs w:val="22"/>
          <w:b w:val="1"/>
          <w:bCs w:val="1"/>
          <w:color w:val="auto"/>
        </w:rPr>
        <w:t>Not Applicable</w:t>
      </w:r>
    </w:p>
    <w:p>
      <w:pPr>
        <w:spacing w:after="0" w:line="30" w:lineRule="exact"/>
        <w:rPr>
          <w:sz w:val="20"/>
          <w:szCs w:val="20"/>
          <w:color w:val="auto"/>
        </w:rPr>
      </w:pPr>
    </w:p>
    <w:p>
      <w:pPr>
        <w:ind w:left="160"/>
        <w:spacing w:after="0"/>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Percent of Class Represented by Amount in Row 9</w:t>
      </w:r>
    </w:p>
    <w:p>
      <w:pPr>
        <w:spacing w:after="0" w:line="239" w:lineRule="exact"/>
        <w:rPr>
          <w:sz w:val="20"/>
          <w:szCs w:val="20"/>
          <w:color w:val="auto"/>
        </w:rPr>
      </w:pPr>
    </w:p>
    <w:p>
      <w:pPr>
        <w:ind w:left="680"/>
        <w:spacing w:after="0"/>
        <w:rPr>
          <w:sz w:val="20"/>
          <w:szCs w:val="20"/>
          <w:color w:val="auto"/>
        </w:rPr>
      </w:pPr>
      <w:r>
        <w:rPr>
          <w:rFonts w:ascii="Arial" w:cs="Arial" w:eastAsia="Arial" w:hAnsi="Arial"/>
          <w:sz w:val="22"/>
          <w:szCs w:val="22"/>
          <w:b w:val="1"/>
          <w:bCs w:val="1"/>
          <w:color w:val="auto"/>
        </w:rPr>
        <w:t>49.0%</w:t>
      </w:r>
    </w:p>
    <w:p>
      <w:pPr>
        <w:spacing w:after="0" w:line="30" w:lineRule="exact"/>
        <w:rPr>
          <w:sz w:val="20"/>
          <w:szCs w:val="20"/>
          <w:color w:val="auto"/>
        </w:rPr>
      </w:pPr>
    </w:p>
    <w:p>
      <w:pPr>
        <w:ind w:left="640" w:hanging="487"/>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8" w:lineRule="exact"/>
        <w:rPr>
          <w:rFonts w:ascii="Arial" w:cs="Arial" w:eastAsia="Arial" w:hAnsi="Arial"/>
          <w:sz w:val="18"/>
          <w:szCs w:val="18"/>
          <w:color w:val="auto"/>
        </w:rPr>
      </w:pPr>
    </w:p>
    <w:p>
      <w:pPr>
        <w:ind w:left="1060" w:hanging="389"/>
        <w:spacing w:after="0"/>
        <w:tabs>
          <w:tab w:leader="none" w:pos="1060" w:val="left"/>
        </w:tabs>
        <w:numPr>
          <w:ilvl w:val="1"/>
          <w:numId w:val="49"/>
        </w:numPr>
        <w:rPr>
          <w:rFonts w:ascii="Arial" w:cs="Arial" w:eastAsia="Arial" w:hAnsi="Arial"/>
          <w:sz w:val="22"/>
          <w:szCs w:val="22"/>
          <w:b w:val="1"/>
          <w:bCs w:val="1"/>
          <w:color w:val="auto"/>
        </w:rPr>
      </w:pPr>
      <w:r>
        <w:rPr>
          <w:rFonts w:ascii="Arial" w:cs="Arial" w:eastAsia="Arial" w:hAnsi="Arial"/>
          <w:sz w:val="22"/>
          <w:szCs w:val="22"/>
          <w:b w:val="1"/>
          <w:bCs w:val="1"/>
          <w:color w:val="auto"/>
        </w:rPr>
        <w:t>(Limited Liability Company)</w:t>
      </w:r>
    </w:p>
    <w:p>
      <w:pPr>
        <w:sectPr>
          <w:pgSz w:w="11900" w:h="16838" w:orient="portrait"/>
          <w:cols w:equalWidth="0" w:num="1">
            <w:col w:w="11020"/>
          </w:cols>
          <w:pgMar w:left="440" w:top="274" w:right="439" w:bottom="1440" w:gutter="0" w:footer="0" w:header="0"/>
          <w:type w:val="continuous"/>
        </w:sectPr>
      </w:pPr>
    </w:p>
    <w:bookmarkStart w:id="6" w:name="page7"/>
    <w:bookmarkEnd w:id="6"/>
    <w:p>
      <w:pPr>
        <w:spacing w:after="0"/>
        <w:tabs>
          <w:tab w:leader="none" w:pos="5220" w:val="left"/>
          <w:tab w:leader="none" w:pos="100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CUSIP No. 38046W105</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6"/>
          <w:szCs w:val="16"/>
          <w:color w:val="auto"/>
        </w:rPr>
        <w:t>Page 6 of 12</w:t>
      </w:r>
    </w:p>
    <w:p>
      <w:pPr>
        <w:spacing w:after="0" w:line="171" w:lineRule="exact"/>
        <w:rPr>
          <w:sz w:val="20"/>
          <w:szCs w:val="20"/>
          <w:color w:val="auto"/>
        </w:rPr>
      </w:pPr>
    </w:p>
    <w:p>
      <w:pPr>
        <w:ind w:left="660" w:hanging="417"/>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003415" cy="53917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03415" cy="5391785"/>
                    </a:xfrm>
                    <a:prstGeom prst="rect">
                      <a:avLst/>
                    </a:prstGeom>
                    <a:noFill/>
                  </pic:spPr>
                </pic:pic>
              </a:graphicData>
            </a:graphic>
          </wp:anchor>
        </w:drawing>
      </w:r>
    </w:p>
    <w:p>
      <w:pPr>
        <w:spacing w:after="0" w:line="219" w:lineRule="exact"/>
        <w:rPr>
          <w:sz w:val="20"/>
          <w:szCs w:val="20"/>
          <w:color w:val="auto"/>
        </w:rPr>
      </w:pPr>
    </w:p>
    <w:p>
      <w:pPr>
        <w:ind w:left="680"/>
        <w:spacing w:after="0"/>
        <w:rPr>
          <w:sz w:val="20"/>
          <w:szCs w:val="20"/>
          <w:color w:val="auto"/>
        </w:rPr>
      </w:pPr>
      <w:r>
        <w:rPr>
          <w:rFonts w:ascii="Arial" w:cs="Arial" w:eastAsia="Arial" w:hAnsi="Arial"/>
          <w:sz w:val="22"/>
          <w:szCs w:val="22"/>
          <w:b w:val="1"/>
          <w:bCs w:val="1"/>
          <w:color w:val="auto"/>
        </w:rPr>
        <w:t>Jeffrey Aronson</w:t>
      </w:r>
    </w:p>
    <w:p>
      <w:pPr>
        <w:spacing w:after="0" w:line="30" w:lineRule="exact"/>
        <w:rPr>
          <w:sz w:val="20"/>
          <w:szCs w:val="20"/>
          <w:color w:val="auto"/>
        </w:rPr>
      </w:pPr>
    </w:p>
    <w:p>
      <w:pPr>
        <w:ind w:left="660" w:hanging="417"/>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660"/>
        <w:spacing w:after="0" w:line="207" w:lineRule="exact"/>
        <w:tabs>
          <w:tab w:leader="none" w:pos="144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60" w:hanging="417"/>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60" w:hanging="417"/>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39" w:lineRule="exact"/>
        <w:rPr>
          <w:sz w:val="20"/>
          <w:szCs w:val="20"/>
          <w:color w:val="auto"/>
        </w:rPr>
      </w:pPr>
    </w:p>
    <w:p>
      <w:pPr>
        <w:ind w:left="680"/>
        <w:spacing w:after="0"/>
        <w:rPr>
          <w:sz w:val="20"/>
          <w:szCs w:val="20"/>
          <w:color w:val="auto"/>
        </w:rPr>
      </w:pPr>
      <w:r>
        <w:rPr>
          <w:rFonts w:ascii="Arial" w:cs="Arial" w:eastAsia="Arial" w:hAnsi="Arial"/>
          <w:sz w:val="22"/>
          <w:szCs w:val="22"/>
          <w:b w:val="1"/>
          <w:bCs w:val="1"/>
          <w:color w:val="auto"/>
        </w:rPr>
        <w:t>United States</w:t>
      </w:r>
    </w:p>
    <w:p>
      <w:pPr>
        <w:sectPr>
          <w:pgSz w:w="11900" w:h="16838" w:orient="portrait"/>
          <w:cols w:equalWidth="0" w:num="1">
            <w:col w:w="11020"/>
          </w:cols>
          <w:pgMar w:left="440" w:top="274"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Number of</w:t>
      </w:r>
    </w:p>
    <w:p>
      <w:pPr>
        <w:spacing w:after="0" w:line="23"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jc w:val="center"/>
        <w:ind w:left="200"/>
        <w:spacing w:after="0"/>
        <w:rPr>
          <w:sz w:val="20"/>
          <w:szCs w:val="20"/>
          <w:color w:val="auto"/>
        </w:rPr>
      </w:pPr>
      <w:r>
        <w:rPr>
          <w:rFonts w:ascii="Arial" w:cs="Arial" w:eastAsia="Arial" w:hAnsi="Arial"/>
          <w:sz w:val="17"/>
          <w:szCs w:val="17"/>
          <w:color w:val="auto"/>
        </w:rPr>
        <w:t>Beneficially</w:t>
      </w:r>
    </w:p>
    <w:p>
      <w:pPr>
        <w:spacing w:after="0" w:line="21"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Person</w:t>
      </w:r>
    </w:p>
    <w:p>
      <w:pPr>
        <w:spacing w:after="0" w:line="9"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With</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ind w:left="452" w:hanging="452"/>
        <w:spacing w:after="0"/>
        <w:tabs>
          <w:tab w:leader="none" w:pos="452" w:val="left"/>
        </w:tabs>
        <w:numPr>
          <w:ilvl w:val="0"/>
          <w:numId w:val="54"/>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39" w:lineRule="exact"/>
        <w:rPr>
          <w:sz w:val="20"/>
          <w:szCs w:val="20"/>
          <w:color w:val="auto"/>
        </w:rPr>
      </w:pPr>
    </w:p>
    <w:p>
      <w:pPr>
        <w:ind w:left="472"/>
        <w:spacing w:after="0"/>
        <w:rPr>
          <w:sz w:val="20"/>
          <w:szCs w:val="20"/>
          <w:color w:val="auto"/>
        </w:rPr>
      </w:pPr>
      <w:r>
        <w:rPr>
          <w:rFonts w:ascii="Arial" w:cs="Arial" w:eastAsia="Arial" w:hAnsi="Arial"/>
          <w:sz w:val="22"/>
          <w:szCs w:val="22"/>
          <w:b w:val="1"/>
          <w:bCs w:val="1"/>
          <w:color w:val="auto"/>
        </w:rPr>
        <w:t>0</w:t>
      </w:r>
    </w:p>
    <w:p>
      <w:pPr>
        <w:spacing w:after="0" w:line="30" w:lineRule="exact"/>
        <w:rPr>
          <w:sz w:val="20"/>
          <w:szCs w:val="20"/>
          <w:color w:val="auto"/>
        </w:rPr>
      </w:pPr>
    </w:p>
    <w:p>
      <w:pPr>
        <w:ind w:left="452" w:hanging="452"/>
        <w:spacing w:after="0"/>
        <w:tabs>
          <w:tab w:leader="none" w:pos="452" w:val="left"/>
        </w:tabs>
        <w:numPr>
          <w:ilvl w:val="0"/>
          <w:numId w:val="55"/>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39" w:lineRule="exact"/>
        <w:rPr>
          <w:sz w:val="20"/>
          <w:szCs w:val="20"/>
          <w:color w:val="auto"/>
        </w:rPr>
      </w:pPr>
    </w:p>
    <w:p>
      <w:pPr>
        <w:ind w:left="472"/>
        <w:spacing w:after="0"/>
        <w:rPr>
          <w:sz w:val="20"/>
          <w:szCs w:val="20"/>
          <w:color w:val="auto"/>
        </w:rPr>
      </w:pPr>
      <w:r>
        <w:rPr>
          <w:rFonts w:ascii="Arial" w:cs="Arial" w:eastAsia="Arial" w:hAnsi="Arial"/>
          <w:sz w:val="22"/>
          <w:szCs w:val="22"/>
          <w:b w:val="1"/>
          <w:bCs w:val="1"/>
          <w:color w:val="auto"/>
        </w:rPr>
        <w:t>121,475,638</w:t>
      </w:r>
    </w:p>
    <w:p>
      <w:pPr>
        <w:spacing w:after="0" w:line="30" w:lineRule="exact"/>
        <w:rPr>
          <w:sz w:val="20"/>
          <w:szCs w:val="20"/>
          <w:color w:val="auto"/>
        </w:rPr>
      </w:pPr>
    </w:p>
    <w:p>
      <w:pPr>
        <w:ind w:left="452" w:hanging="452"/>
        <w:spacing w:after="0"/>
        <w:tabs>
          <w:tab w:leader="none" w:pos="452" w:val="left"/>
        </w:tabs>
        <w:numPr>
          <w:ilvl w:val="0"/>
          <w:numId w:val="56"/>
        </w:numPr>
        <w:rPr>
          <w:rFonts w:ascii="Arial" w:cs="Arial" w:eastAsia="Arial" w:hAnsi="Arial"/>
          <w:sz w:val="18"/>
          <w:szCs w:val="18"/>
          <w:color w:val="auto"/>
        </w:rPr>
      </w:pPr>
      <w:r>
        <w:rPr>
          <w:rFonts w:ascii="Arial" w:cs="Arial" w:eastAsia="Arial" w:hAnsi="Arial"/>
          <w:sz w:val="18"/>
          <w:szCs w:val="18"/>
          <w:color w:val="auto"/>
        </w:rPr>
        <w:t>Sole Dispositive Power</w:t>
      </w:r>
    </w:p>
    <w:p>
      <w:pPr>
        <w:spacing w:after="0" w:line="239" w:lineRule="exact"/>
        <w:rPr>
          <w:sz w:val="20"/>
          <w:szCs w:val="20"/>
          <w:color w:val="auto"/>
        </w:rPr>
      </w:pPr>
    </w:p>
    <w:p>
      <w:pPr>
        <w:ind w:left="472"/>
        <w:spacing w:after="0"/>
        <w:rPr>
          <w:sz w:val="20"/>
          <w:szCs w:val="20"/>
          <w:color w:val="auto"/>
        </w:rPr>
      </w:pPr>
      <w:r>
        <w:rPr>
          <w:rFonts w:ascii="Arial" w:cs="Arial" w:eastAsia="Arial" w:hAnsi="Arial"/>
          <w:sz w:val="22"/>
          <w:szCs w:val="22"/>
          <w:b w:val="1"/>
          <w:bCs w:val="1"/>
          <w:color w:val="auto"/>
        </w:rPr>
        <w:t>0</w:t>
      </w:r>
    </w:p>
    <w:p>
      <w:pPr>
        <w:spacing w:after="0" w:line="30" w:lineRule="exact"/>
        <w:rPr>
          <w:sz w:val="20"/>
          <w:szCs w:val="20"/>
          <w:color w:val="auto"/>
        </w:rPr>
      </w:pPr>
    </w:p>
    <w:p>
      <w:pPr>
        <w:ind w:left="452" w:hanging="452"/>
        <w:spacing w:after="0"/>
        <w:tabs>
          <w:tab w:leader="none" w:pos="452" w:val="left"/>
        </w:tabs>
        <w:numPr>
          <w:ilvl w:val="0"/>
          <w:numId w:val="57"/>
        </w:numPr>
        <w:rPr>
          <w:rFonts w:ascii="Arial" w:cs="Arial" w:eastAsia="Arial" w:hAnsi="Arial"/>
          <w:sz w:val="16"/>
          <w:szCs w:val="16"/>
          <w:color w:val="auto"/>
        </w:rPr>
      </w:pPr>
      <w:r>
        <w:rPr>
          <w:rFonts w:ascii="Arial" w:cs="Arial" w:eastAsia="Arial" w:hAnsi="Arial"/>
          <w:sz w:val="16"/>
          <w:szCs w:val="16"/>
          <w:color w:val="auto"/>
        </w:rPr>
        <w:t>Shared Dispositive Power</w:t>
      </w:r>
    </w:p>
    <w:p>
      <w:pPr>
        <w:spacing w:after="0" w:line="262" w:lineRule="exact"/>
        <w:rPr>
          <w:sz w:val="20"/>
          <w:szCs w:val="20"/>
          <w:color w:val="auto"/>
        </w:rPr>
      </w:pPr>
    </w:p>
    <w:p>
      <w:pPr>
        <w:ind w:left="472"/>
        <w:spacing w:after="0"/>
        <w:rPr>
          <w:sz w:val="20"/>
          <w:szCs w:val="20"/>
          <w:color w:val="auto"/>
        </w:rPr>
      </w:pPr>
      <w:r>
        <w:rPr>
          <w:rFonts w:ascii="Arial" w:cs="Arial" w:eastAsia="Arial" w:hAnsi="Arial"/>
          <w:sz w:val="22"/>
          <w:szCs w:val="22"/>
          <w:b w:val="1"/>
          <w:bCs w:val="1"/>
          <w:color w:val="auto"/>
        </w:rPr>
        <w:t>121,475,638</w:t>
      </w:r>
    </w:p>
    <w:p>
      <w:pPr>
        <w:spacing w:after="0" w:line="30" w:lineRule="exact"/>
        <w:rPr>
          <w:sz w:val="20"/>
          <w:szCs w:val="20"/>
          <w:color w:val="auto"/>
        </w:rPr>
      </w:pPr>
    </w:p>
    <w:p>
      <w:pPr>
        <w:sectPr>
          <w:pgSz w:w="11900" w:h="16838" w:orient="portrait"/>
          <w:cols w:equalWidth="0" w:num="2">
            <w:col w:w="1080" w:space="248"/>
            <w:col w:w="9692"/>
          </w:cols>
          <w:pgMar w:left="440" w:top="274" w:right="439" w:bottom="1440" w:gutter="0" w:footer="0" w:header="0"/>
          <w:type w:val="continuous"/>
        </w:sectPr>
      </w:pPr>
    </w:p>
    <w:p>
      <w:pPr>
        <w:ind w:left="640" w:hanging="397"/>
        <w:spacing w:after="0"/>
        <w:tabs>
          <w:tab w:leader="none" w:pos="640" w:val="left"/>
        </w:tabs>
        <w:numPr>
          <w:ilvl w:val="0"/>
          <w:numId w:val="58"/>
        </w:numPr>
        <w:rPr>
          <w:rFonts w:ascii="Arial" w:cs="Arial" w:eastAsia="Arial" w:hAnsi="Arial"/>
          <w:sz w:val="16"/>
          <w:szCs w:val="16"/>
          <w:color w:val="auto"/>
        </w:rPr>
      </w:pPr>
      <w:r>
        <w:rPr>
          <w:rFonts w:ascii="Arial" w:cs="Arial" w:eastAsia="Arial" w:hAnsi="Arial"/>
          <w:sz w:val="16"/>
          <w:szCs w:val="16"/>
          <w:color w:val="auto"/>
        </w:rPr>
        <w:t>Aggregate Amount Beneficially Owned by Each Reporting Person</w:t>
      </w:r>
    </w:p>
    <w:p>
      <w:pPr>
        <w:spacing w:after="0" w:line="262" w:lineRule="exact"/>
        <w:rPr>
          <w:sz w:val="20"/>
          <w:szCs w:val="20"/>
          <w:color w:val="auto"/>
        </w:rPr>
      </w:pPr>
    </w:p>
    <w:p>
      <w:pPr>
        <w:ind w:left="680"/>
        <w:spacing w:after="0"/>
        <w:rPr>
          <w:sz w:val="20"/>
          <w:szCs w:val="20"/>
          <w:color w:val="auto"/>
        </w:rPr>
      </w:pPr>
      <w:r>
        <w:rPr>
          <w:rFonts w:ascii="Arial" w:cs="Arial" w:eastAsia="Arial" w:hAnsi="Arial"/>
          <w:sz w:val="22"/>
          <w:szCs w:val="22"/>
          <w:b w:val="1"/>
          <w:bCs w:val="1"/>
          <w:color w:val="auto"/>
        </w:rPr>
        <w:t>121,475,638</w:t>
      </w:r>
    </w:p>
    <w:p>
      <w:pPr>
        <w:spacing w:after="0" w:line="30" w:lineRule="exact"/>
        <w:rPr>
          <w:sz w:val="20"/>
          <w:szCs w:val="20"/>
          <w:color w:val="auto"/>
        </w:rPr>
      </w:pPr>
    </w:p>
    <w:p>
      <w:pPr>
        <w:ind w:left="160"/>
        <w:spacing w:after="0"/>
        <w:tabs>
          <w:tab w:leader="none" w:pos="640" w:val="left"/>
        </w:tabs>
        <w:rPr>
          <w:sz w:val="20"/>
          <w:szCs w:val="20"/>
          <w:color w:val="auto"/>
        </w:rPr>
      </w:pPr>
      <w:r>
        <w:rPr>
          <w:rFonts w:ascii="Arial" w:cs="Arial" w:eastAsia="Arial" w:hAnsi="Arial"/>
          <w:sz w:val="16"/>
          <w:szCs w:val="16"/>
          <w:color w:val="auto"/>
        </w:rPr>
        <w:t>10</w:t>
      </w:r>
      <w:r>
        <w:rPr>
          <w:sz w:val="20"/>
          <w:szCs w:val="20"/>
          <w:color w:val="auto"/>
        </w:rPr>
        <w:tab/>
      </w:r>
      <w:r>
        <w:rPr>
          <w:rFonts w:ascii="Arial" w:cs="Arial" w:eastAsia="Arial" w:hAnsi="Arial"/>
          <w:sz w:val="16"/>
          <w:szCs w:val="16"/>
          <w:color w:val="auto"/>
        </w:rPr>
        <w:t>Check if the Aggregate Amount in Row (9) Excludes Certain Shares</w:t>
      </w:r>
    </w:p>
    <w:p>
      <w:pPr>
        <w:spacing w:after="0" w:line="262" w:lineRule="exact"/>
        <w:rPr>
          <w:sz w:val="20"/>
          <w:szCs w:val="20"/>
          <w:color w:val="auto"/>
        </w:rPr>
      </w:pPr>
    </w:p>
    <w:p>
      <w:pPr>
        <w:ind w:left="680"/>
        <w:spacing w:after="0"/>
        <w:rPr>
          <w:sz w:val="20"/>
          <w:szCs w:val="20"/>
          <w:color w:val="auto"/>
        </w:rPr>
      </w:pPr>
      <w:r>
        <w:rPr>
          <w:rFonts w:ascii="Arial" w:cs="Arial" w:eastAsia="Arial" w:hAnsi="Arial"/>
          <w:sz w:val="22"/>
          <w:szCs w:val="22"/>
          <w:b w:val="1"/>
          <w:bCs w:val="1"/>
          <w:color w:val="auto"/>
        </w:rPr>
        <w:t>Not Applicable</w:t>
      </w:r>
    </w:p>
    <w:p>
      <w:pPr>
        <w:spacing w:after="0" w:line="30" w:lineRule="exact"/>
        <w:rPr>
          <w:sz w:val="20"/>
          <w:szCs w:val="20"/>
          <w:color w:val="auto"/>
        </w:rPr>
      </w:pPr>
    </w:p>
    <w:p>
      <w:pPr>
        <w:ind w:left="160"/>
        <w:spacing w:after="0"/>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Percent of Class Represented by Amount in Row 9</w:t>
      </w:r>
    </w:p>
    <w:p>
      <w:pPr>
        <w:spacing w:after="0" w:line="239" w:lineRule="exact"/>
        <w:rPr>
          <w:sz w:val="20"/>
          <w:szCs w:val="20"/>
          <w:color w:val="auto"/>
        </w:rPr>
      </w:pPr>
    </w:p>
    <w:p>
      <w:pPr>
        <w:ind w:left="680"/>
        <w:spacing w:after="0"/>
        <w:rPr>
          <w:sz w:val="20"/>
          <w:szCs w:val="20"/>
          <w:color w:val="auto"/>
        </w:rPr>
      </w:pPr>
      <w:r>
        <w:rPr>
          <w:rFonts w:ascii="Arial" w:cs="Arial" w:eastAsia="Arial" w:hAnsi="Arial"/>
          <w:sz w:val="22"/>
          <w:szCs w:val="22"/>
          <w:b w:val="1"/>
          <w:bCs w:val="1"/>
          <w:color w:val="auto"/>
        </w:rPr>
        <w:t>73.6%</w:t>
      </w:r>
    </w:p>
    <w:p>
      <w:pPr>
        <w:spacing w:after="0" w:line="30" w:lineRule="exact"/>
        <w:rPr>
          <w:sz w:val="20"/>
          <w:szCs w:val="20"/>
          <w:color w:val="auto"/>
        </w:rPr>
      </w:pPr>
    </w:p>
    <w:p>
      <w:pPr>
        <w:ind w:left="160"/>
        <w:spacing w:after="0"/>
        <w:tabs>
          <w:tab w:leader="none" w:pos="6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Type of Reporting Person</w:t>
      </w:r>
    </w:p>
    <w:p>
      <w:pPr>
        <w:spacing w:after="0" w:line="239" w:lineRule="exact"/>
        <w:rPr>
          <w:sz w:val="20"/>
          <w:szCs w:val="20"/>
          <w:color w:val="auto"/>
        </w:rPr>
      </w:pPr>
    </w:p>
    <w:p>
      <w:pPr>
        <w:ind w:left="680"/>
        <w:spacing w:after="0"/>
        <w:rPr>
          <w:sz w:val="20"/>
          <w:szCs w:val="20"/>
          <w:color w:val="auto"/>
        </w:rPr>
      </w:pPr>
      <w:r>
        <w:rPr>
          <w:rFonts w:ascii="Arial" w:cs="Arial" w:eastAsia="Arial" w:hAnsi="Arial"/>
          <w:sz w:val="22"/>
          <w:szCs w:val="22"/>
          <w:b w:val="1"/>
          <w:bCs w:val="1"/>
          <w:color w:val="auto"/>
        </w:rPr>
        <w:t>IN</w:t>
      </w:r>
    </w:p>
    <w:p>
      <w:pPr>
        <w:sectPr>
          <w:pgSz w:w="11900" w:h="16838" w:orient="portrait"/>
          <w:cols w:equalWidth="0" w:num="1">
            <w:col w:w="11020"/>
          </w:cols>
          <w:pgMar w:left="440" w:top="274" w:right="4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6"/>
          <w:szCs w:val="16"/>
          <w:color w:val="auto"/>
        </w:rPr>
        <w:t>CUSIP No. 38046W105</w:t>
      </w:r>
    </w:p>
    <w:p>
      <w:pPr>
        <w:spacing w:after="0" w:line="20" w:lineRule="exact"/>
        <w:rPr>
          <w:sz w:val="20"/>
          <w:szCs w:val="20"/>
          <w:color w:val="auto"/>
        </w:rPr>
      </w:pPr>
      <w:r>
        <w:rPr>
          <w:sz w:val="20"/>
          <w:szCs w:val="20"/>
          <w:color w:val="auto"/>
        </w:rPr>
        <w:br w:type="column"/>
      </w:r>
    </w:p>
    <w:p>
      <w:pPr>
        <w:jc w:val="center"/>
        <w:ind w:right="3140"/>
        <w:spacing w:after="0"/>
        <w:rPr>
          <w:sz w:val="20"/>
          <w:szCs w:val="20"/>
          <w:color w:val="auto"/>
        </w:rPr>
      </w:pPr>
      <w:r>
        <w:rPr>
          <w:rFonts w:ascii="Arial" w:cs="Arial" w:eastAsia="Arial" w:hAnsi="Arial"/>
          <w:sz w:val="15"/>
          <w:szCs w:val="15"/>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-3397885</wp:posOffset>
            </wp:positionH>
            <wp:positionV relativeFrom="paragraph">
              <wp:posOffset>-194310</wp:posOffset>
            </wp:positionV>
            <wp:extent cx="71494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Page 7 of 12</w:t>
      </w:r>
    </w:p>
    <w:p>
      <w:pPr>
        <w:spacing w:after="0" w:line="177" w:lineRule="exact"/>
        <w:rPr>
          <w:sz w:val="20"/>
          <w:szCs w:val="20"/>
          <w:color w:val="auto"/>
        </w:rPr>
      </w:pPr>
    </w:p>
    <w:p>
      <w:pPr>
        <w:sectPr>
          <w:pgSz w:w="11900" w:h="16838" w:orient="portrait"/>
          <w:cols w:equalWidth="0" w:num="3">
            <w:col w:w="4520" w:space="720"/>
            <w:col w:w="4140" w:space="720"/>
            <w:col w:w="920"/>
          </w:cols>
          <w:pgMar w:left="440" w:top="274" w:right="439" w:bottom="1440" w:gutter="0" w:footer="0" w:header="0"/>
        </w:sectPr>
      </w:pPr>
    </w:p>
    <w:p>
      <w:pPr>
        <w:spacing w:after="0"/>
        <w:rPr>
          <w:sz w:val="20"/>
          <w:szCs w:val="20"/>
          <w:color w:val="auto"/>
        </w:rPr>
      </w:pPr>
      <w:r>
        <w:rPr>
          <w:rFonts w:ascii="Arial" w:cs="Arial" w:eastAsia="Arial" w:hAnsi="Arial"/>
          <w:sz w:val="18"/>
          <w:szCs w:val="18"/>
          <w:b w:val="1"/>
          <w:bCs w:val="1"/>
          <w:color w:val="auto"/>
        </w:rPr>
        <w:t>ITEM 1.</w:t>
      </w:r>
    </w:p>
    <w:p>
      <w:pPr>
        <w:spacing w:after="0" w:line="20" w:lineRule="exact"/>
        <w:rPr>
          <w:sz w:val="20"/>
          <w:szCs w:val="20"/>
          <w:color w:val="auto"/>
        </w:rPr>
      </w:pPr>
      <w:r>
        <w:rPr>
          <w:sz w:val="20"/>
          <w:szCs w:val="20"/>
          <w:color w:val="auto"/>
        </w:rPr>
        <w:br w:type="column"/>
      </w:r>
    </w:p>
    <w:p>
      <w:pPr>
        <w:spacing w:after="0"/>
        <w:tabs>
          <w:tab w:leader="none" w:pos="38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6"/>
          <w:szCs w:val="16"/>
          <w:b w:val="1"/>
          <w:bCs w:val="1"/>
          <w:color w:val="auto"/>
        </w:rPr>
        <w:t>Name of Issuer:</w:t>
      </w:r>
    </w:p>
    <w:p>
      <w:pPr>
        <w:spacing w:after="0" w:line="121" w:lineRule="exact"/>
        <w:rPr>
          <w:sz w:val="20"/>
          <w:szCs w:val="20"/>
          <w:color w:val="auto"/>
        </w:rPr>
      </w:pPr>
    </w:p>
    <w:p>
      <w:pPr>
        <w:sectPr>
          <w:pgSz w:w="11900" w:h="16838" w:orient="portrait"/>
          <w:cols w:equalWidth="0" w:num="2">
            <w:col w:w="660" w:space="420"/>
            <w:col w:w="9940"/>
          </w:cols>
          <w:pgMar w:left="440" w:top="274" w:right="439" w:bottom="1440" w:gutter="0" w:footer="0" w:header="0"/>
          <w:type w:val="continuous"/>
        </w:sectPr>
      </w:pPr>
    </w:p>
    <w:p>
      <w:pPr>
        <w:ind w:left="1980"/>
        <w:spacing w:after="0"/>
        <w:rPr>
          <w:sz w:val="20"/>
          <w:szCs w:val="20"/>
          <w:color w:val="auto"/>
        </w:rPr>
      </w:pPr>
      <w:r>
        <w:rPr>
          <w:rFonts w:ascii="Arial" w:cs="Arial" w:eastAsia="Arial" w:hAnsi="Arial"/>
          <w:sz w:val="16"/>
          <w:szCs w:val="16"/>
          <w:color w:val="auto"/>
        </w:rPr>
        <w:t>GoHealth, Inc. (the “Issuer”).</w:t>
      </w:r>
    </w:p>
    <w:p>
      <w:pPr>
        <w:sectPr>
          <w:pgSz w:w="11900" w:h="16838" w:orient="portrait"/>
          <w:cols w:equalWidth="0" w:num="1">
            <w:col w:w="11020"/>
          </w:cols>
          <w:pgMar w:left="440" w:top="274" w:right="439" w:bottom="1440" w:gutter="0" w:footer="0" w:header="0"/>
          <w:type w:val="continuous"/>
        </w:sectPr>
      </w:pPr>
    </w:p>
    <w:p>
      <w:pPr>
        <w:spacing w:after="0" w:line="150" w:lineRule="exact"/>
        <w:rPr>
          <w:sz w:val="20"/>
          <w:szCs w:val="20"/>
          <w:color w:val="auto"/>
        </w:rPr>
      </w:pPr>
    </w:p>
    <w:p>
      <w:pPr>
        <w:ind w:left="1980" w:right="5760" w:hanging="891"/>
        <w:spacing w:after="0" w:line="488" w:lineRule="auto"/>
        <w:tabs>
          <w:tab w:leader="none" w:pos="1415" w:val="left"/>
        </w:tabs>
        <w:numPr>
          <w:ilvl w:val="0"/>
          <w:numId w:val="5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Address of Issuer’s Principal Executive Offices: </w:t>
      </w:r>
      <w:r>
        <w:rPr>
          <w:rFonts w:ascii="Arial" w:cs="Arial" w:eastAsia="Arial" w:hAnsi="Arial"/>
          <w:sz w:val="16"/>
          <w:szCs w:val="16"/>
          <w:color w:val="auto"/>
        </w:rPr>
        <w:t>214 West Huron St., Chicago, Illinois, 60654.</w:t>
      </w:r>
    </w:p>
    <w:p>
      <w:pPr>
        <w:spacing w:after="0" w:line="156" w:lineRule="exact"/>
        <w:rPr>
          <w:sz w:val="20"/>
          <w:szCs w:val="20"/>
          <w:color w:val="auto"/>
        </w:rPr>
      </w:pPr>
    </w:p>
    <w:p>
      <w:pPr>
        <w:spacing w:after="0"/>
        <w:tabs>
          <w:tab w:leader="none" w:pos="1060" w:val="left"/>
          <w:tab w:leader="none" w:pos="14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(a)</w:t>
      </w:r>
      <w:r>
        <w:rPr>
          <w:sz w:val="20"/>
          <w:szCs w:val="20"/>
          <w:color w:val="auto"/>
        </w:rPr>
        <w:tab/>
      </w:r>
      <w:r>
        <w:rPr>
          <w:rFonts w:ascii="Arial" w:cs="Arial" w:eastAsia="Arial" w:hAnsi="Arial"/>
          <w:sz w:val="16"/>
          <w:szCs w:val="16"/>
          <w:b w:val="1"/>
          <w:bCs w:val="1"/>
          <w:color w:val="auto"/>
        </w:rPr>
        <w:t>Name of Person Filing:</w:t>
      </w:r>
    </w:p>
    <w:p>
      <w:pPr>
        <w:spacing w:after="0" w:line="121" w:lineRule="exact"/>
        <w:rPr>
          <w:sz w:val="20"/>
          <w:szCs w:val="20"/>
          <w:color w:val="auto"/>
        </w:rPr>
      </w:pPr>
    </w:p>
    <w:p>
      <w:pPr>
        <w:ind w:left="1980"/>
        <w:spacing w:after="0"/>
        <w:rPr>
          <w:sz w:val="20"/>
          <w:szCs w:val="20"/>
          <w:color w:val="auto"/>
        </w:rPr>
      </w:pPr>
      <w:r>
        <w:rPr>
          <w:rFonts w:ascii="Arial" w:cs="Arial" w:eastAsia="Arial" w:hAnsi="Arial"/>
          <w:sz w:val="17"/>
          <w:szCs w:val="17"/>
          <w:color w:val="auto"/>
        </w:rPr>
        <w:t>Each of the following is hereinafter individually referred to as a “Reporting Person” and collectively as the “Reporting</w:t>
      </w:r>
    </w:p>
    <w:p>
      <w:pPr>
        <w:spacing w:after="0" w:line="35"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Persons.” This statement is filed on behalf of:</w:t>
      </w:r>
    </w:p>
    <w:p>
      <w:pPr>
        <w:spacing w:after="0" w:line="116"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CCP III Cayman GP Ltd. (“CCP GP”);</w:t>
      </w:r>
    </w:p>
    <w:p>
      <w:pPr>
        <w:spacing w:after="0" w:line="23"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Centerbridge Associates III, L.P. (“Centerbridge Associates”);</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CCP III AIV VII Holdings, L.P. (“CCP III”);</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CB Blizzard Co-Invest Holdings, L.P. (“CB Blizzard”);</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Blizzard Aggregator, LLC (“Blizzard Aggregator”); and</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Jeffrey Aronson.</w:t>
      </w:r>
    </w:p>
    <w:p>
      <w:pPr>
        <w:spacing w:after="0" w:line="112"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(b) Address of Principal Business Office:</w:t>
      </w:r>
    </w:p>
    <w:p>
      <w:pPr>
        <w:spacing w:after="0" w:line="27" w:lineRule="exact"/>
        <w:rPr>
          <w:sz w:val="20"/>
          <w:szCs w:val="20"/>
          <w:color w:val="auto"/>
        </w:rPr>
      </w:pPr>
    </w:p>
    <w:p>
      <w:pPr>
        <w:ind w:left="1980"/>
        <w:spacing w:after="0"/>
        <w:rPr>
          <w:sz w:val="20"/>
          <w:szCs w:val="20"/>
          <w:color w:val="auto"/>
        </w:rPr>
      </w:pPr>
      <w:r>
        <w:rPr>
          <w:rFonts w:ascii="Arial" w:cs="Arial" w:eastAsia="Arial" w:hAnsi="Arial"/>
          <w:sz w:val="17"/>
          <w:szCs w:val="17"/>
          <w:color w:val="auto"/>
        </w:rPr>
        <w:t>The principal business address of the Reporting Persons is 375 Park Avenue, 11th Floor, New York, New York 10152.</w:t>
      </w:r>
    </w:p>
    <w:p>
      <w:pPr>
        <w:spacing w:after="0" w:line="124"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(c)  Citizenship of each Reporting Person is:</w:t>
      </w:r>
    </w:p>
    <w:p>
      <w:pPr>
        <w:spacing w:after="0" w:line="121" w:lineRule="exact"/>
        <w:rPr>
          <w:sz w:val="20"/>
          <w:szCs w:val="20"/>
          <w:color w:val="auto"/>
        </w:rPr>
      </w:pPr>
    </w:p>
    <w:p>
      <w:pPr>
        <w:ind w:left="1980" w:right="140"/>
        <w:spacing w:after="0" w:line="277" w:lineRule="auto"/>
        <w:rPr>
          <w:sz w:val="20"/>
          <w:szCs w:val="20"/>
          <w:color w:val="auto"/>
        </w:rPr>
      </w:pPr>
      <w:r>
        <w:rPr>
          <w:rFonts w:ascii="Arial" w:cs="Arial" w:eastAsia="Arial" w:hAnsi="Arial"/>
          <w:sz w:val="18"/>
          <w:szCs w:val="18"/>
          <w:color w:val="auto"/>
        </w:rPr>
        <w:t>CCP GP is organized under the laws of the Cayman Islands. Mr. Aronson is a citizen of the United States. Each of the other Reporting Persons is organized under the laws of the State of Delaware.</w:t>
      </w:r>
    </w:p>
    <w:p>
      <w:pPr>
        <w:spacing w:after="0" w:line="72"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(d) Title of Class of Securities:</w:t>
      </w:r>
    </w:p>
    <w:p>
      <w:pPr>
        <w:spacing w:after="0" w:line="121"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Class A Common Stock, $0.0001 par value per share (“Class A Common Stock”).</w:t>
      </w:r>
    </w:p>
    <w:p>
      <w:pPr>
        <w:spacing w:after="0" w:line="127" w:lineRule="exact"/>
        <w:rPr>
          <w:sz w:val="20"/>
          <w:szCs w:val="20"/>
          <w:color w:val="auto"/>
        </w:rPr>
      </w:pPr>
    </w:p>
    <w:p>
      <w:pPr>
        <w:ind w:left="1980" w:right="8160" w:hanging="891"/>
        <w:spacing w:after="0" w:line="488" w:lineRule="auto"/>
        <w:tabs>
          <w:tab w:leader="none" w:pos="1415" w:val="left"/>
        </w:tabs>
        <w:numPr>
          <w:ilvl w:val="0"/>
          <w:numId w:val="6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CUSIP Number: </w:t>
      </w:r>
      <w:r>
        <w:rPr>
          <w:rFonts w:ascii="Arial" w:cs="Arial" w:eastAsia="Arial" w:hAnsi="Arial"/>
          <w:sz w:val="16"/>
          <w:szCs w:val="16"/>
          <w:color w:val="auto"/>
        </w:rPr>
        <w:t>38046W105</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(a-c)</w:t>
      </w:r>
    </w:p>
    <w:p>
      <w:pPr>
        <w:sectPr>
          <w:pgSz w:w="11900" w:h="16838" w:orient="portrait"/>
          <w:cols w:equalWidth="0" w:num="1">
            <w:col w:w="11020"/>
          </w:cols>
          <w:pgMar w:left="440" w:top="274" w:right="439" w:bottom="1440" w:gutter="0" w:footer="0" w:header="0"/>
          <w:type w:val="continuous"/>
        </w:sectPr>
      </w:pPr>
    </w:p>
    <w:bookmarkStart w:id="8" w:name="page9"/>
    <w:bookmarkEnd w:id="8"/>
    <w:p>
      <w:pPr>
        <w:spacing w:after="0"/>
        <w:tabs>
          <w:tab w:leader="none" w:pos="5220" w:val="left"/>
          <w:tab w:leader="none" w:pos="100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CUSIP No. 38046W105</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6"/>
          <w:szCs w:val="16"/>
          <w:color w:val="auto"/>
        </w:rPr>
        <w:t>Page 8 of 12</w:t>
      </w:r>
    </w:p>
    <w:p>
      <w:pPr>
        <w:spacing w:after="0" w:line="158" w:lineRule="exact"/>
        <w:rPr>
          <w:sz w:val="20"/>
          <w:szCs w:val="20"/>
          <w:color w:val="auto"/>
        </w:rPr>
      </w:pPr>
    </w:p>
    <w:p>
      <w:pPr>
        <w:ind w:left="980" w:right="80" w:firstLine="401"/>
        <w:spacing w:after="0" w:line="257" w:lineRule="auto"/>
        <w:rPr>
          <w:sz w:val="20"/>
          <w:szCs w:val="20"/>
          <w:color w:val="auto"/>
        </w:rPr>
      </w:pPr>
      <w:r>
        <w:rPr>
          <w:rFonts w:ascii="Arial" w:cs="Arial" w:eastAsia="Arial" w:hAnsi="Arial"/>
          <w:sz w:val="18"/>
          <w:szCs w:val="18"/>
          <w:color w:val="auto"/>
        </w:rPr>
        <w:t>The ownership information presented below represents beneficial ownership of Class A Common Stock of the Issuer as of December 31, 2020 based upon 84,182,961 shares of Class A Common Stock outstanding as of November 6, 2020 as reported in the quarterly report on Form 10-Q filed with the Securities and Exchange Commission on November 13, 2020 and assumes the redemption of the LLC Interests held of record by Blizzard Aggregator as of the date hereof. The LLC Interests may be redeemed at any time for shares of Class A Common Stock on a one-to-one basis.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7"/>
              </w:rPr>
              <w:t>Sole</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2"/>
              </w:rPr>
              <w:t>Shared</w:t>
            </w:r>
          </w:p>
        </w:tc>
        <w:tc>
          <w:tcPr>
            <w:tcW w:w="0" w:type="dxa"/>
            <w:vAlign w:val="bottom"/>
          </w:tcPr>
          <w:p>
            <w:pPr>
              <w:spacing w:after="0"/>
              <w:rPr>
                <w:sz w:val="1"/>
                <w:szCs w:val="1"/>
                <w:color w:val="auto"/>
              </w:rPr>
            </w:pPr>
          </w:p>
        </w:tc>
      </w:tr>
      <w:tr>
        <w:trPr>
          <w:trHeight w:val="158"/>
        </w:trPr>
        <w:tc>
          <w:tcPr>
            <w:tcW w:w="386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7"/>
              </w:rPr>
              <w:t>Sole</w:t>
            </w: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Shared</w:t>
            </w:r>
          </w:p>
        </w:tc>
        <w:tc>
          <w:tcPr>
            <w:tcW w:w="9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power to</w:t>
            </w:r>
          </w:p>
        </w:tc>
        <w:tc>
          <w:tcPr>
            <w:tcW w:w="11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power to</w:t>
            </w: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power</w:t>
            </w:r>
          </w:p>
        </w:tc>
        <w:tc>
          <w:tcPr>
            <w:tcW w:w="1180" w:type="dxa"/>
            <w:vAlign w:val="bottom"/>
            <w:vMerge w:val="continue"/>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dispose or</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dispose or</w:t>
            </w: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2180" w:type="dxa"/>
            <w:vAlign w:val="bottom"/>
            <w:vMerge w:val="restart"/>
          </w:tcPr>
          <w:p>
            <w:pPr>
              <w:jc w:val="center"/>
              <w:ind w:left="876"/>
              <w:spacing w:after="0"/>
              <w:rPr>
                <w:sz w:val="20"/>
                <w:szCs w:val="20"/>
                <w:color w:val="auto"/>
              </w:rPr>
            </w:pPr>
            <w:r>
              <w:rPr>
                <w:rFonts w:ascii="Arial" w:cs="Arial" w:eastAsia="Arial" w:hAnsi="Arial"/>
                <w:sz w:val="14"/>
                <w:szCs w:val="14"/>
                <w:b w:val="1"/>
                <w:bCs w:val="1"/>
                <w:color w:val="auto"/>
                <w:w w:val="94"/>
              </w:rPr>
              <w:t>Amount</w:t>
            </w:r>
          </w:p>
        </w:tc>
        <w:tc>
          <w:tcPr>
            <w:tcW w:w="9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to vote</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power to</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to direct</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to direct</w:t>
            </w: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2180" w:type="dxa"/>
            <w:vAlign w:val="bottom"/>
            <w:vMerge w:val="continue"/>
          </w:tcPr>
          <w:p>
            <w:pPr>
              <w:spacing w:after="0"/>
              <w:rPr>
                <w:sz w:val="12"/>
                <w:szCs w:val="12"/>
                <w:color w:val="auto"/>
              </w:rPr>
            </w:pPr>
          </w:p>
        </w:tc>
        <w:tc>
          <w:tcPr>
            <w:tcW w:w="90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Percent</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or to</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vote or to</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the</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the</w:t>
            </w:r>
          </w:p>
        </w:tc>
        <w:tc>
          <w:tcPr>
            <w:tcW w:w="0" w:type="dxa"/>
            <w:vAlign w:val="bottom"/>
          </w:tcPr>
          <w:p>
            <w:pPr>
              <w:spacing w:after="0"/>
              <w:rPr>
                <w:sz w:val="1"/>
                <w:szCs w:val="1"/>
                <w:color w:val="auto"/>
              </w:rPr>
            </w:pPr>
          </w:p>
        </w:tc>
      </w:tr>
      <w:tr>
        <w:trPr>
          <w:trHeight w:val="149"/>
        </w:trPr>
        <w:tc>
          <w:tcPr>
            <w:tcW w:w="3860" w:type="dxa"/>
            <w:vAlign w:val="bottom"/>
            <w:vMerge w:val="restart"/>
          </w:tcPr>
          <w:p>
            <w:pPr>
              <w:spacing w:after="0"/>
              <w:rPr>
                <w:sz w:val="20"/>
                <w:szCs w:val="20"/>
                <w:color w:val="auto"/>
              </w:rPr>
            </w:pPr>
            <w:r>
              <w:rPr>
                <w:rFonts w:ascii="Arial" w:cs="Arial" w:eastAsia="Arial" w:hAnsi="Arial"/>
                <w:sz w:val="14"/>
                <w:szCs w:val="14"/>
                <w:b w:val="1"/>
                <w:bCs w:val="1"/>
                <w:color w:val="auto"/>
              </w:rPr>
              <w:t>Reporting Person</w:t>
            </w:r>
          </w:p>
        </w:tc>
        <w:tc>
          <w:tcPr>
            <w:tcW w:w="2180" w:type="dxa"/>
            <w:vAlign w:val="bottom"/>
          </w:tcPr>
          <w:p>
            <w:pPr>
              <w:jc w:val="center"/>
              <w:ind w:left="876"/>
              <w:spacing w:after="0" w:line="149" w:lineRule="exact"/>
              <w:rPr>
                <w:sz w:val="20"/>
                <w:szCs w:val="20"/>
                <w:color w:val="auto"/>
              </w:rPr>
            </w:pPr>
            <w:r>
              <w:rPr>
                <w:rFonts w:ascii="Arial" w:cs="Arial" w:eastAsia="Arial" w:hAnsi="Arial"/>
                <w:sz w:val="14"/>
                <w:szCs w:val="14"/>
                <w:b w:val="1"/>
                <w:bCs w:val="1"/>
                <w:color w:val="auto"/>
                <w:w w:val="91"/>
              </w:rPr>
              <w:t>beneficially</w:t>
            </w:r>
          </w:p>
        </w:tc>
        <w:tc>
          <w:tcPr>
            <w:tcW w:w="900" w:type="dxa"/>
            <w:vAlign w:val="bottom"/>
            <w:vMerge w:val="continue"/>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direct</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direct the</w:t>
            </w:r>
          </w:p>
        </w:tc>
        <w:tc>
          <w:tcPr>
            <w:tcW w:w="960" w:type="dxa"/>
            <w:vAlign w:val="bottom"/>
          </w:tcPr>
          <w:p>
            <w:pPr>
              <w:jc w:val="right"/>
              <w:ind w:right="80"/>
              <w:spacing w:after="0" w:line="149" w:lineRule="exact"/>
              <w:rPr>
                <w:sz w:val="20"/>
                <w:szCs w:val="20"/>
                <w:color w:val="auto"/>
              </w:rPr>
            </w:pPr>
            <w:r>
              <w:rPr>
                <w:rFonts w:ascii="Arial" w:cs="Arial" w:eastAsia="Arial" w:hAnsi="Arial"/>
                <w:sz w:val="14"/>
                <w:szCs w:val="14"/>
                <w:b w:val="1"/>
                <w:bCs w:val="1"/>
                <w:color w:val="auto"/>
              </w:rPr>
              <w:t>disposition</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disposition</w:t>
            </w:r>
          </w:p>
        </w:tc>
        <w:tc>
          <w:tcPr>
            <w:tcW w:w="0" w:type="dxa"/>
            <w:vAlign w:val="bottom"/>
          </w:tcPr>
          <w:p>
            <w:pPr>
              <w:spacing w:after="0"/>
              <w:rPr>
                <w:sz w:val="1"/>
                <w:szCs w:val="1"/>
                <w:color w:val="auto"/>
              </w:rPr>
            </w:pPr>
          </w:p>
        </w:tc>
      </w:tr>
      <w:tr>
        <w:trPr>
          <w:trHeight w:val="175"/>
        </w:trPr>
        <w:tc>
          <w:tcPr>
            <w:tcW w:w="3860" w:type="dxa"/>
            <w:vAlign w:val="bottom"/>
            <w:vMerge w:val="continue"/>
          </w:tcPr>
          <w:p>
            <w:pPr>
              <w:spacing w:after="0"/>
              <w:rPr>
                <w:sz w:val="15"/>
                <w:szCs w:val="15"/>
                <w:color w:val="auto"/>
              </w:rPr>
            </w:pPr>
          </w:p>
        </w:tc>
        <w:tc>
          <w:tcPr>
            <w:tcW w:w="2180" w:type="dxa"/>
            <w:vAlign w:val="bottom"/>
          </w:tcPr>
          <w:p>
            <w:pPr>
              <w:jc w:val="center"/>
              <w:ind w:left="876"/>
              <w:spacing w:after="0"/>
              <w:rPr>
                <w:sz w:val="20"/>
                <w:szCs w:val="20"/>
                <w:color w:val="auto"/>
              </w:rPr>
            </w:pPr>
            <w:r>
              <w:rPr>
                <w:rFonts w:ascii="Arial" w:cs="Arial" w:eastAsia="Arial" w:hAnsi="Arial"/>
                <w:sz w:val="14"/>
                <w:szCs w:val="14"/>
                <w:b w:val="1"/>
                <w:bCs w:val="1"/>
                <w:color w:val="auto"/>
                <w:w w:val="85"/>
              </w:rPr>
              <w:t>owned</w:t>
            </w:r>
          </w:p>
        </w:tc>
        <w:tc>
          <w:tcPr>
            <w:tcW w:w="900" w:type="dxa"/>
            <w:vAlign w:val="bottom"/>
          </w:tcPr>
          <w:p>
            <w:pPr>
              <w:jc w:val="right"/>
              <w:ind w:right="195"/>
              <w:spacing w:after="0"/>
              <w:rPr>
                <w:sz w:val="20"/>
                <w:szCs w:val="20"/>
                <w:color w:val="auto"/>
              </w:rPr>
            </w:pPr>
            <w:r>
              <w:rPr>
                <w:rFonts w:ascii="Arial" w:cs="Arial" w:eastAsia="Arial" w:hAnsi="Arial"/>
                <w:sz w:val="14"/>
                <w:szCs w:val="14"/>
                <w:b w:val="1"/>
                <w:bCs w:val="1"/>
                <w:color w:val="auto"/>
              </w:rPr>
              <w:t>of class:</w:t>
            </w:r>
          </w:p>
        </w:tc>
        <w:tc>
          <w:tcPr>
            <w:tcW w:w="820" w:type="dxa"/>
            <w:vAlign w:val="bottom"/>
          </w:tcPr>
          <w:p>
            <w:pPr>
              <w:jc w:val="right"/>
              <w:ind w:right="79"/>
              <w:spacing w:after="0"/>
              <w:rPr>
                <w:sz w:val="20"/>
                <w:szCs w:val="20"/>
                <w:color w:val="auto"/>
              </w:rPr>
            </w:pPr>
            <w:r>
              <w:rPr>
                <w:rFonts w:ascii="Arial" w:cs="Arial" w:eastAsia="Arial" w:hAnsi="Arial"/>
                <w:sz w:val="14"/>
                <w:szCs w:val="14"/>
                <w:b w:val="1"/>
                <w:bCs w:val="1"/>
                <w:color w:val="auto"/>
              </w:rPr>
              <w:t>the vote:</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89"/>
              </w:rPr>
              <w:t>vote:</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9"/>
              </w:rPr>
              <w:t>of:</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9"/>
              </w:rPr>
              <w:t>of:</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CCP III Cayman GP Ltd.</w:t>
            </w:r>
          </w:p>
        </w:tc>
        <w:tc>
          <w:tcPr>
            <w:tcW w:w="218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121,475,638</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73.6%</w:t>
            </w:r>
          </w:p>
        </w:tc>
        <w:tc>
          <w:tcPr>
            <w:tcW w:w="82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0</w:t>
            </w:r>
          </w:p>
        </w:tc>
        <w:tc>
          <w:tcPr>
            <w:tcW w:w="118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121,475,638</w:t>
            </w:r>
          </w:p>
        </w:tc>
        <w:tc>
          <w:tcPr>
            <w:tcW w:w="960" w:type="dxa"/>
            <w:vAlign w:val="bottom"/>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121,475,638</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Centerbridge Associates III, L.P.</w:t>
            </w:r>
          </w:p>
        </w:tc>
        <w:tc>
          <w:tcPr>
            <w:tcW w:w="2180" w:type="dxa"/>
            <w:vAlign w:val="bottom"/>
          </w:tcPr>
          <w:p>
            <w:pPr>
              <w:jc w:val="right"/>
              <w:ind w:right="56"/>
              <w:spacing w:after="0"/>
              <w:rPr>
                <w:sz w:val="20"/>
                <w:szCs w:val="20"/>
                <w:color w:val="auto"/>
              </w:rPr>
            </w:pPr>
            <w:r>
              <w:rPr>
                <w:rFonts w:ascii="Arial" w:cs="Arial" w:eastAsia="Arial" w:hAnsi="Arial"/>
                <w:sz w:val="18"/>
                <w:szCs w:val="18"/>
                <w:color w:val="auto"/>
              </w:rPr>
              <w:t>40,682,961</w:t>
            </w: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48.3%</w:t>
            </w:r>
          </w:p>
        </w:tc>
        <w:tc>
          <w:tcPr>
            <w:tcW w:w="820" w:type="dxa"/>
            <w:vAlign w:val="bottom"/>
          </w:tcPr>
          <w:p>
            <w:pPr>
              <w:jc w:val="right"/>
              <w:ind w:right="79"/>
              <w:spacing w:after="0"/>
              <w:rPr>
                <w:sz w:val="20"/>
                <w:szCs w:val="20"/>
                <w:color w:val="auto"/>
              </w:rPr>
            </w:pPr>
            <w:r>
              <w:rPr>
                <w:rFonts w:ascii="Arial" w:cs="Arial" w:eastAsia="Arial" w:hAnsi="Arial"/>
                <w:sz w:val="18"/>
                <w:szCs w:val="18"/>
                <w:color w:val="auto"/>
              </w:rPr>
              <w:t>0</w:t>
            </w:r>
          </w:p>
        </w:tc>
        <w:tc>
          <w:tcPr>
            <w:tcW w:w="1180" w:type="dxa"/>
            <w:vAlign w:val="bottom"/>
          </w:tcPr>
          <w:p>
            <w:pPr>
              <w:jc w:val="right"/>
              <w:ind w:right="38"/>
              <w:spacing w:after="0"/>
              <w:rPr>
                <w:sz w:val="20"/>
                <w:szCs w:val="20"/>
                <w:color w:val="auto"/>
              </w:rPr>
            </w:pPr>
            <w:r>
              <w:rPr>
                <w:rFonts w:ascii="Arial" w:cs="Arial" w:eastAsia="Arial" w:hAnsi="Arial"/>
                <w:sz w:val="18"/>
                <w:szCs w:val="18"/>
                <w:color w:val="auto"/>
              </w:rPr>
              <w:t>40,682,961</w:t>
            </w:r>
          </w:p>
        </w:tc>
        <w:tc>
          <w:tcPr>
            <w:tcW w:w="960" w:type="dxa"/>
            <w:vAlign w:val="bottom"/>
          </w:tcPr>
          <w:p>
            <w:pPr>
              <w:jc w:val="right"/>
              <w:ind w:right="80"/>
              <w:spacing w:after="0"/>
              <w:rPr>
                <w:sz w:val="20"/>
                <w:szCs w:val="20"/>
                <w:color w:val="auto"/>
              </w:rPr>
            </w:pPr>
            <w:r>
              <w:rPr>
                <w:rFonts w:ascii="Arial" w:cs="Arial" w:eastAsia="Arial" w:hAnsi="Arial"/>
                <w:sz w:val="18"/>
                <w:szCs w:val="18"/>
                <w:color w:val="auto"/>
              </w:rPr>
              <w:t>0</w:t>
            </w:r>
          </w:p>
        </w:tc>
        <w:tc>
          <w:tcPr>
            <w:tcW w:w="1120" w:type="dxa"/>
            <w:vAlign w:val="bottom"/>
          </w:tcPr>
          <w:p>
            <w:pPr>
              <w:jc w:val="right"/>
              <w:spacing w:after="0"/>
              <w:rPr>
                <w:sz w:val="20"/>
                <w:szCs w:val="20"/>
                <w:color w:val="auto"/>
              </w:rPr>
            </w:pPr>
            <w:r>
              <w:rPr>
                <w:rFonts w:ascii="Arial" w:cs="Arial" w:eastAsia="Arial" w:hAnsi="Arial"/>
                <w:sz w:val="18"/>
                <w:szCs w:val="18"/>
                <w:color w:val="auto"/>
              </w:rPr>
              <w:t>40,682,961</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CCP III AIV VII Holdings, L.P.</w:t>
            </w:r>
          </w:p>
        </w:tc>
        <w:tc>
          <w:tcPr>
            <w:tcW w:w="218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23,129,333</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27.5%</w:t>
            </w:r>
          </w:p>
        </w:tc>
        <w:tc>
          <w:tcPr>
            <w:tcW w:w="82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0</w:t>
            </w:r>
          </w:p>
        </w:tc>
        <w:tc>
          <w:tcPr>
            <w:tcW w:w="118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23,129,333</w:t>
            </w:r>
          </w:p>
        </w:tc>
        <w:tc>
          <w:tcPr>
            <w:tcW w:w="960" w:type="dxa"/>
            <w:vAlign w:val="bottom"/>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23,129,333</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CB Blizzard Co-Invest Holdings, L.P.</w:t>
            </w:r>
          </w:p>
        </w:tc>
        <w:tc>
          <w:tcPr>
            <w:tcW w:w="2180" w:type="dxa"/>
            <w:vAlign w:val="bottom"/>
          </w:tcPr>
          <w:p>
            <w:pPr>
              <w:jc w:val="right"/>
              <w:ind w:right="56"/>
              <w:spacing w:after="0"/>
              <w:rPr>
                <w:sz w:val="20"/>
                <w:szCs w:val="20"/>
                <w:color w:val="auto"/>
              </w:rPr>
            </w:pPr>
            <w:r>
              <w:rPr>
                <w:rFonts w:ascii="Arial" w:cs="Arial" w:eastAsia="Arial" w:hAnsi="Arial"/>
                <w:sz w:val="18"/>
                <w:szCs w:val="18"/>
                <w:color w:val="auto"/>
              </w:rPr>
              <w:t>17,553,628</w:t>
            </w: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20.9%</w:t>
            </w:r>
          </w:p>
        </w:tc>
        <w:tc>
          <w:tcPr>
            <w:tcW w:w="820" w:type="dxa"/>
            <w:vAlign w:val="bottom"/>
          </w:tcPr>
          <w:p>
            <w:pPr>
              <w:jc w:val="right"/>
              <w:ind w:right="79"/>
              <w:spacing w:after="0"/>
              <w:rPr>
                <w:sz w:val="20"/>
                <w:szCs w:val="20"/>
                <w:color w:val="auto"/>
              </w:rPr>
            </w:pPr>
            <w:r>
              <w:rPr>
                <w:rFonts w:ascii="Arial" w:cs="Arial" w:eastAsia="Arial" w:hAnsi="Arial"/>
                <w:sz w:val="18"/>
                <w:szCs w:val="18"/>
                <w:color w:val="auto"/>
              </w:rPr>
              <w:t>0</w:t>
            </w:r>
          </w:p>
        </w:tc>
        <w:tc>
          <w:tcPr>
            <w:tcW w:w="1180" w:type="dxa"/>
            <w:vAlign w:val="bottom"/>
          </w:tcPr>
          <w:p>
            <w:pPr>
              <w:jc w:val="right"/>
              <w:ind w:right="38"/>
              <w:spacing w:after="0"/>
              <w:rPr>
                <w:sz w:val="20"/>
                <w:szCs w:val="20"/>
                <w:color w:val="auto"/>
              </w:rPr>
            </w:pPr>
            <w:r>
              <w:rPr>
                <w:rFonts w:ascii="Arial" w:cs="Arial" w:eastAsia="Arial" w:hAnsi="Arial"/>
                <w:sz w:val="18"/>
                <w:szCs w:val="18"/>
                <w:color w:val="auto"/>
              </w:rPr>
              <w:t>17,553,628</w:t>
            </w:r>
          </w:p>
        </w:tc>
        <w:tc>
          <w:tcPr>
            <w:tcW w:w="960" w:type="dxa"/>
            <w:vAlign w:val="bottom"/>
          </w:tcPr>
          <w:p>
            <w:pPr>
              <w:jc w:val="right"/>
              <w:ind w:right="80"/>
              <w:spacing w:after="0"/>
              <w:rPr>
                <w:sz w:val="20"/>
                <w:szCs w:val="20"/>
                <w:color w:val="auto"/>
              </w:rPr>
            </w:pPr>
            <w:r>
              <w:rPr>
                <w:rFonts w:ascii="Arial" w:cs="Arial" w:eastAsia="Arial" w:hAnsi="Arial"/>
                <w:sz w:val="18"/>
                <w:szCs w:val="18"/>
                <w:color w:val="auto"/>
              </w:rPr>
              <w:t>0</w:t>
            </w:r>
          </w:p>
        </w:tc>
        <w:tc>
          <w:tcPr>
            <w:tcW w:w="1120" w:type="dxa"/>
            <w:vAlign w:val="bottom"/>
          </w:tcPr>
          <w:p>
            <w:pPr>
              <w:jc w:val="right"/>
              <w:spacing w:after="0"/>
              <w:rPr>
                <w:sz w:val="20"/>
                <w:szCs w:val="20"/>
                <w:color w:val="auto"/>
              </w:rPr>
            </w:pPr>
            <w:r>
              <w:rPr>
                <w:rFonts w:ascii="Arial" w:cs="Arial" w:eastAsia="Arial" w:hAnsi="Arial"/>
                <w:sz w:val="18"/>
                <w:szCs w:val="18"/>
                <w:color w:val="auto"/>
              </w:rPr>
              <w:t>17,553,628</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Blizzard Aggregator, LLC</w:t>
            </w:r>
          </w:p>
        </w:tc>
        <w:tc>
          <w:tcPr>
            <w:tcW w:w="218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80,792,677</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49.0%</w:t>
            </w:r>
          </w:p>
        </w:tc>
        <w:tc>
          <w:tcPr>
            <w:tcW w:w="82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0</w:t>
            </w:r>
          </w:p>
        </w:tc>
        <w:tc>
          <w:tcPr>
            <w:tcW w:w="118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80,792,677</w:t>
            </w:r>
          </w:p>
        </w:tc>
        <w:tc>
          <w:tcPr>
            <w:tcW w:w="960" w:type="dxa"/>
            <w:vAlign w:val="bottom"/>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80,792,677</w:t>
            </w:r>
          </w:p>
        </w:tc>
        <w:tc>
          <w:tcPr>
            <w:tcW w:w="0" w:type="dxa"/>
            <w:vAlign w:val="bottom"/>
          </w:tcPr>
          <w:p>
            <w:pPr>
              <w:spacing w:after="0"/>
              <w:rPr>
                <w:sz w:val="1"/>
                <w:szCs w:val="1"/>
                <w:color w:val="auto"/>
              </w:rPr>
            </w:pP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Jeffrey Aronson</w:t>
            </w:r>
          </w:p>
        </w:tc>
        <w:tc>
          <w:tcPr>
            <w:tcW w:w="2180" w:type="dxa"/>
            <w:vAlign w:val="bottom"/>
          </w:tcPr>
          <w:p>
            <w:pPr>
              <w:jc w:val="right"/>
              <w:ind w:right="56"/>
              <w:spacing w:after="0"/>
              <w:rPr>
                <w:sz w:val="20"/>
                <w:szCs w:val="20"/>
                <w:color w:val="auto"/>
              </w:rPr>
            </w:pPr>
            <w:r>
              <w:rPr>
                <w:rFonts w:ascii="Arial" w:cs="Arial" w:eastAsia="Arial" w:hAnsi="Arial"/>
                <w:sz w:val="18"/>
                <w:szCs w:val="18"/>
                <w:color w:val="auto"/>
              </w:rPr>
              <w:t>121,475,638</w:t>
            </w: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73.6%</w:t>
            </w:r>
          </w:p>
        </w:tc>
        <w:tc>
          <w:tcPr>
            <w:tcW w:w="820" w:type="dxa"/>
            <w:vAlign w:val="bottom"/>
          </w:tcPr>
          <w:p>
            <w:pPr>
              <w:jc w:val="right"/>
              <w:ind w:right="79"/>
              <w:spacing w:after="0"/>
              <w:rPr>
                <w:sz w:val="20"/>
                <w:szCs w:val="20"/>
                <w:color w:val="auto"/>
              </w:rPr>
            </w:pPr>
            <w:r>
              <w:rPr>
                <w:rFonts w:ascii="Arial" w:cs="Arial" w:eastAsia="Arial" w:hAnsi="Arial"/>
                <w:sz w:val="18"/>
                <w:szCs w:val="18"/>
                <w:color w:val="auto"/>
              </w:rPr>
              <w:t>0</w:t>
            </w:r>
          </w:p>
        </w:tc>
        <w:tc>
          <w:tcPr>
            <w:tcW w:w="1180" w:type="dxa"/>
            <w:vAlign w:val="bottom"/>
          </w:tcPr>
          <w:p>
            <w:pPr>
              <w:jc w:val="right"/>
              <w:ind w:right="38"/>
              <w:spacing w:after="0"/>
              <w:rPr>
                <w:sz w:val="20"/>
                <w:szCs w:val="20"/>
                <w:color w:val="auto"/>
              </w:rPr>
            </w:pPr>
            <w:r>
              <w:rPr>
                <w:rFonts w:ascii="Arial" w:cs="Arial" w:eastAsia="Arial" w:hAnsi="Arial"/>
                <w:sz w:val="18"/>
                <w:szCs w:val="18"/>
                <w:color w:val="auto"/>
              </w:rPr>
              <w:t>121,475,638</w:t>
            </w:r>
          </w:p>
        </w:tc>
        <w:tc>
          <w:tcPr>
            <w:tcW w:w="960" w:type="dxa"/>
            <w:vAlign w:val="bottom"/>
          </w:tcPr>
          <w:p>
            <w:pPr>
              <w:jc w:val="right"/>
              <w:ind w:right="80"/>
              <w:spacing w:after="0"/>
              <w:rPr>
                <w:sz w:val="20"/>
                <w:szCs w:val="20"/>
                <w:color w:val="auto"/>
              </w:rPr>
            </w:pPr>
            <w:r>
              <w:rPr>
                <w:rFonts w:ascii="Arial" w:cs="Arial" w:eastAsia="Arial" w:hAnsi="Arial"/>
                <w:sz w:val="18"/>
                <w:szCs w:val="18"/>
                <w:color w:val="auto"/>
              </w:rPr>
              <w:t>0</w:t>
            </w:r>
          </w:p>
        </w:tc>
        <w:tc>
          <w:tcPr>
            <w:tcW w:w="1120" w:type="dxa"/>
            <w:vAlign w:val="bottom"/>
          </w:tcPr>
          <w:p>
            <w:pPr>
              <w:jc w:val="right"/>
              <w:spacing w:after="0"/>
              <w:rPr>
                <w:sz w:val="20"/>
                <w:szCs w:val="20"/>
                <w:color w:val="auto"/>
              </w:rPr>
            </w:pPr>
            <w:r>
              <w:rPr>
                <w:rFonts w:ascii="Arial" w:cs="Arial" w:eastAsia="Arial" w:hAnsi="Arial"/>
                <w:sz w:val="18"/>
                <w:szCs w:val="18"/>
                <w:color w:val="auto"/>
              </w:rPr>
              <w:t>121,475,638</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980" w:right="160" w:firstLine="401"/>
        <w:spacing w:after="0" w:line="277" w:lineRule="auto"/>
        <w:rPr>
          <w:sz w:val="20"/>
          <w:szCs w:val="20"/>
          <w:color w:val="auto"/>
        </w:rPr>
      </w:pPr>
      <w:r>
        <w:rPr>
          <w:rFonts w:ascii="Arial" w:cs="Arial" w:eastAsia="Arial" w:hAnsi="Arial"/>
          <w:sz w:val="18"/>
          <w:szCs w:val="18"/>
          <w:color w:val="auto"/>
        </w:rPr>
        <w:t>CCP III is the record holder of 23,129,333 shares of Class A Common Stock. CB Blizzard is the record holder of 17,553,628 shares of Class A Common Stock. Blizzard Aggregator is the record holder of 80,792,677 LLC Interests.</w:t>
      </w:r>
    </w:p>
    <w:p>
      <w:pPr>
        <w:spacing w:after="0" w:line="62" w:lineRule="exact"/>
        <w:rPr>
          <w:sz w:val="20"/>
          <w:szCs w:val="20"/>
          <w:color w:val="auto"/>
        </w:rPr>
      </w:pPr>
    </w:p>
    <w:p>
      <w:pPr>
        <w:ind w:left="980" w:right="20" w:firstLine="401"/>
        <w:spacing w:after="0" w:line="289" w:lineRule="auto"/>
        <w:rPr>
          <w:sz w:val="20"/>
          <w:szCs w:val="20"/>
          <w:color w:val="auto"/>
        </w:rPr>
      </w:pPr>
      <w:r>
        <w:rPr>
          <w:rFonts w:ascii="Arial" w:cs="Arial" w:eastAsia="Arial" w:hAnsi="Arial"/>
          <w:sz w:val="16"/>
          <w:szCs w:val="16"/>
          <w:color w:val="auto"/>
        </w:rPr>
        <w:t>CCP GP is the general partner of Centerbridge Associates, which is the general partner of each of CCP III and CB Blizzard. As a result, each of CCP GP and Centerbridge Associates may be deemed to share beneficial ownership of the Class A Common Stock held by CCP III and CB Blizzard. CCP GP is also the sole manager of Blizzard Aggregator and may be deemed to share beneficial ownership of the LLC Interests held by Blizzard Aggregator. Mark T. Gallogly retired from Centerbridge Partners, L.P. effective December 7, 2020. Jeffrey H. Aronson is the sole director of CCP GP and, as a result, may be deemed to beneficially own the securities held by each of CCP III, CB Blizzard and Blizzard Aggregator. However, none of the foregoing should be construed in and of itself as an admission by Mr. Aronson or by any Reporting Person as to beneficial ownership of securities owned by another Reporting Person. In addition, Mr. Aronson expressly disclaims beneficial ownership of the shares of Class A Common Stock held by each of CCP III and CB Blizzard, as well as the LLC Interests held by Blizzard Aggregator, except to the extent of any proportionate pecuniary interest therein.</w:t>
      </w:r>
    </w:p>
    <w:p>
      <w:pPr>
        <w:spacing w:after="0" w:line="31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080" w:right="580" w:hanging="1092"/>
        <w:spacing w:after="0" w:line="282" w:lineRule="auto"/>
        <w:tabs>
          <w:tab w:leader="none" w:pos="10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020"/>
          </w:cols>
          <w:pgMar w:left="440" w:top="274" w:right="439" w:bottom="1440" w:gutter="0" w:footer="0" w:header="0"/>
        </w:sectPr>
      </w:pPr>
    </w:p>
    <w:bookmarkStart w:id="9" w:name="page10"/>
    <w:bookmarkEnd w:id="9"/>
    <w:p>
      <w:pPr>
        <w:spacing w:after="0"/>
        <w:tabs>
          <w:tab w:leader="none" w:pos="5220" w:val="left"/>
          <w:tab w:leader="none" w:pos="100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CUSIP No. 38046W105</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6"/>
          <w:szCs w:val="16"/>
          <w:color w:val="auto"/>
        </w:rPr>
        <w:t>Page 9 of 12</w:t>
      </w:r>
    </w:p>
    <w:p>
      <w:pPr>
        <w:spacing w:after="0" w:line="154"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color w:val="auto"/>
        </w:rPr>
        <w:t>Certification.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020"/>
          </w:cols>
          <w:pgMar w:left="440" w:top="274" w:right="439" w:bottom="1440" w:gutter="0" w:footer="0" w:header="0"/>
        </w:sectPr>
      </w:pPr>
    </w:p>
    <w:bookmarkStart w:id="10" w:name="page11"/>
    <w:bookmarkEnd w:id="10"/>
    <w:p>
      <w:pPr>
        <w:spacing w:after="0"/>
        <w:tabs>
          <w:tab w:leader="none" w:pos="5220" w:val="left"/>
          <w:tab w:leader="none" w:pos="100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38046W105</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6"/>
          <w:szCs w:val="16"/>
          <w:color w:val="auto"/>
        </w:rPr>
        <w:t>Page 10 of 12</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6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Date</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February 4, 2021</w:t>
      </w:r>
    </w:p>
    <w:p>
      <w:pPr>
        <w:spacing w:after="0" w:line="13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CCP III Cayman GP Ltd.</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Susanne V.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Susanne V. Clark</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Authorized Signatory</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Centerbridge Associates III, L.P.</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CCP III Cayman GP Ltd., its general partner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Susanne V.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Susanne V. Clark</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Authorized Signatory</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CCP III AIV VII Holdings, L.P.</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By: Centerbridge Associates III, L.P., its general partner</w:t>
      </w:r>
    </w:p>
    <w:p>
      <w:pPr>
        <w:spacing w:after="0" w:line="2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CCP III Cayman GP Ltd., its general partner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Susanne V.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Susanne V. Clark</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Authorized Signatory</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CB Blizzard Co-Invest Holdings, L.P.</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By: Centerbridge Associates III, L.P., its general partner</w:t>
      </w:r>
    </w:p>
    <w:p>
      <w:pPr>
        <w:spacing w:after="0" w:line="2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CCP III Cayman GP Ltd., its general partner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Susanne V.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Susanne V. Clark</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Authorized Signatory</w:t>
      </w:r>
    </w:p>
    <w:p>
      <w:pPr>
        <w:sectPr>
          <w:pgSz w:w="11900" w:h="16838" w:orient="portrait"/>
          <w:cols w:equalWidth="0" w:num="1">
            <w:col w:w="11020"/>
          </w:cols>
          <w:pgMar w:left="440" w:top="274" w:right="439" w:bottom="1440" w:gutter="0" w:footer="0" w:header="0"/>
        </w:sectPr>
      </w:pPr>
    </w:p>
    <w:bookmarkStart w:id="11" w:name="page12"/>
    <w:bookmarkEnd w:id="11"/>
    <w:p>
      <w:pPr>
        <w:spacing w:after="0"/>
        <w:tabs>
          <w:tab w:leader="none" w:pos="5220" w:val="left"/>
          <w:tab w:leader="none" w:pos="100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38046W105</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6"/>
          <w:szCs w:val="16"/>
          <w:color w:val="auto"/>
        </w:rPr>
        <w:t>Page 11 of 12</w:t>
      </w:r>
    </w:p>
    <w:p>
      <w:pPr>
        <w:sectPr>
          <w:pgSz w:w="11900" w:h="16838" w:orient="portrait"/>
          <w:cols w:equalWidth="0" w:num="1">
            <w:col w:w="11020"/>
          </w:cols>
          <w:pgMar w:left="440" w:top="274" w:right="439" w:bottom="1440" w:gutter="0" w:footer="0" w:header="0"/>
        </w:sectPr>
      </w:pPr>
    </w:p>
    <w:p>
      <w:pPr>
        <w:spacing w:after="0" w:line="154"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Blizzard Aggregator, LLC</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6"/>
          <w:szCs w:val="16"/>
          <w:color w:val="auto"/>
        </w:rPr>
        <w:t>By: CCP III Cayman GP Ltd., its sole manager</w:t>
      </w: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Susanne V.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Susanne V. Clark</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Authorized Signatory</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Jeffrey H. Aronson</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u w:val="single" w:color="auto"/>
          <w:color w:val="auto"/>
        </w:rPr>
        <w:t>/s/ Jeffrey H. Aronson</w:t>
      </w:r>
    </w:p>
    <w:p>
      <w:pPr>
        <w:sectPr>
          <w:pgSz w:w="11900" w:h="16838" w:orient="portrait"/>
          <w:cols w:equalWidth="0" w:num="1">
            <w:col w:w="11020"/>
          </w:cols>
          <w:pgMar w:left="440" w:top="274" w:right="439" w:bottom="144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230"/>
        </w:trPr>
        <w:tc>
          <w:tcPr>
            <w:tcW w:w="3980" w:type="dxa"/>
            <w:vAlign w:val="bottom"/>
            <w:gridSpan w:val="4"/>
          </w:tcPr>
          <w:p>
            <w:pPr>
              <w:spacing w:after="0"/>
              <w:rPr>
                <w:sz w:val="20"/>
                <w:szCs w:val="20"/>
                <w:color w:val="auto"/>
              </w:rPr>
            </w:pPr>
            <w:r>
              <w:rPr>
                <w:rFonts w:ascii="Arial" w:cs="Arial" w:eastAsia="Arial" w:hAnsi="Arial"/>
                <w:sz w:val="18"/>
                <w:szCs w:val="18"/>
                <w:color w:val="auto"/>
              </w:rPr>
              <w:t>CUSIP No. 38046W105</w:t>
            </w:r>
          </w:p>
        </w:tc>
        <w:tc>
          <w:tcPr>
            <w:tcW w:w="4180" w:type="dxa"/>
            <w:vAlign w:val="bottom"/>
          </w:tcPr>
          <w:p>
            <w:pPr>
              <w:ind w:left="1260"/>
              <w:spacing w:after="0"/>
              <w:rPr>
                <w:sz w:val="20"/>
                <w:szCs w:val="20"/>
                <w:color w:val="auto"/>
              </w:rPr>
            </w:pPr>
            <w:r>
              <w:rPr>
                <w:rFonts w:ascii="Arial" w:cs="Arial" w:eastAsia="Arial" w:hAnsi="Arial"/>
                <w:sz w:val="18"/>
                <w:szCs w:val="18"/>
                <w:color w:val="auto"/>
              </w:rPr>
              <w:t>Schedule 13G</w:t>
            </w:r>
          </w:p>
        </w:tc>
        <w:tc>
          <w:tcPr>
            <w:tcW w:w="2860" w:type="dxa"/>
            <w:vAlign w:val="bottom"/>
          </w:tcPr>
          <w:p>
            <w:pPr>
              <w:ind w:left="1860"/>
              <w:spacing w:after="0"/>
              <w:rPr>
                <w:sz w:val="20"/>
                <w:szCs w:val="20"/>
                <w:color w:val="auto"/>
              </w:rPr>
            </w:pPr>
            <w:r>
              <w:rPr>
                <w:rFonts w:ascii="Arial" w:cs="Arial" w:eastAsia="Arial" w:hAnsi="Arial"/>
                <w:sz w:val="18"/>
                <w:szCs w:val="18"/>
                <w:color w:val="auto"/>
                <w:w w:val="87"/>
              </w:rPr>
              <w:t>Page 12 of 12</w:t>
            </w:r>
          </w:p>
        </w:tc>
      </w:tr>
      <w:tr>
        <w:trPr>
          <w:trHeight w:val="364"/>
        </w:trPr>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180" w:type="dxa"/>
            <w:vAlign w:val="bottom"/>
          </w:tcPr>
          <w:p>
            <w:pPr>
              <w:ind w:left="720"/>
              <w:spacing w:after="0"/>
              <w:rPr>
                <w:sz w:val="20"/>
                <w:szCs w:val="20"/>
                <w:color w:val="auto"/>
              </w:rPr>
            </w:pPr>
            <w:r>
              <w:rPr>
                <w:rFonts w:ascii="Arial" w:cs="Arial" w:eastAsia="Arial" w:hAnsi="Arial"/>
                <w:sz w:val="18"/>
                <w:szCs w:val="18"/>
                <w:b w:val="1"/>
                <w:bCs w:val="1"/>
                <w:color w:val="auto"/>
              </w:rPr>
              <w:t>LIST OF EXHIBITS</w:t>
            </w:r>
          </w:p>
        </w:tc>
        <w:tc>
          <w:tcPr>
            <w:tcW w:w="2860" w:type="dxa"/>
            <w:vAlign w:val="bottom"/>
          </w:tcPr>
          <w:p>
            <w:pPr>
              <w:spacing w:after="0"/>
              <w:rPr>
                <w:sz w:val="24"/>
                <w:szCs w:val="24"/>
                <w:color w:val="auto"/>
              </w:rPr>
            </w:pPr>
          </w:p>
        </w:tc>
      </w:tr>
      <w:tr>
        <w:trPr>
          <w:trHeight w:val="392"/>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820" w:type="dxa"/>
            <w:vAlign w:val="bottom"/>
          </w:tcPr>
          <w:p>
            <w:pPr>
              <w:spacing w:after="0"/>
              <w:rPr>
                <w:sz w:val="24"/>
                <w:szCs w:val="24"/>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w:t>
            </w:r>
          </w:p>
        </w:tc>
        <w:tc>
          <w:tcPr>
            <w:tcW w:w="17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99</w:t>
            </w:r>
          </w:p>
        </w:tc>
        <w:tc>
          <w:tcPr>
            <w:tcW w:w="3260" w:type="dxa"/>
            <w:vAlign w:val="bottom"/>
            <w:gridSpan w:val="3"/>
          </w:tcPr>
          <w:p>
            <w:pPr>
              <w:ind w:left="820"/>
              <w:spacing w:after="0"/>
              <w:rPr>
                <w:sz w:val="20"/>
                <w:szCs w:val="20"/>
                <w:color w:val="auto"/>
              </w:rPr>
            </w:pPr>
            <w:r>
              <w:rPr>
                <w:rFonts w:ascii="Arial" w:cs="Arial" w:eastAsia="Arial" w:hAnsi="Arial"/>
                <w:sz w:val="18"/>
                <w:szCs w:val="18"/>
                <w:color w:val="auto"/>
              </w:rPr>
              <w:t>Joint Filing Agreement.</w:t>
            </w:r>
          </w:p>
        </w:tc>
        <w:tc>
          <w:tcPr>
            <w:tcW w:w="4180" w:type="dxa"/>
            <w:vAlign w:val="bottom"/>
          </w:tcPr>
          <w:p>
            <w:pPr>
              <w:spacing w:after="0"/>
              <w:rPr>
                <w:sz w:val="24"/>
                <w:szCs w:val="24"/>
                <w:color w:val="auto"/>
              </w:rPr>
            </w:pPr>
          </w:p>
        </w:tc>
        <w:tc>
          <w:tcPr>
            <w:tcW w:w="28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20"/>
          </w:cols>
          <w:pgMar w:left="440" w:top="274" w:right="4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13" w:name="page14"/>
    <w:bookmarkEnd w:id="13"/>
    <w:p>
      <w:pPr>
        <w:jc w:val="right"/>
        <w:spacing w:after="0"/>
        <w:rPr>
          <w:sz w:val="20"/>
          <w:szCs w:val="20"/>
          <w:color w:val="auto"/>
        </w:rPr>
      </w:pPr>
      <w:r>
        <w:rPr>
          <w:rFonts w:ascii="Arial" w:cs="Arial" w:eastAsia="Arial" w:hAnsi="Arial"/>
          <w:sz w:val="18"/>
          <w:szCs w:val="18"/>
          <w:b w:val="1"/>
          <w:bCs w:val="1"/>
          <w:color w:val="auto"/>
        </w:rPr>
        <w:t>Exhibit 99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In accordance with Rule 13d-1(k)(1) promulgated under the Securities Exchange Act of 1934, as amended, the undersigned hereby agree that they are jointly filing this statement on Schedule 13G. Each of them is responsible for the timely filing of such statement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WITNESS WHEREOF, the undersigned hereby execute this Joint Filing Agreement as of the 4</w:t>
      </w:r>
      <w:r>
        <w:rPr>
          <w:rFonts w:ascii="Arial" w:cs="Arial" w:eastAsia="Arial" w:hAnsi="Arial"/>
          <w:sz w:val="15"/>
          <w:szCs w:val="15"/>
          <w:color w:val="auto"/>
        </w:rPr>
        <w:t>th</w:t>
      </w:r>
      <w:r>
        <w:rPr>
          <w:rFonts w:ascii="Arial" w:cs="Arial" w:eastAsia="Arial" w:hAnsi="Arial"/>
          <w:sz w:val="18"/>
          <w:szCs w:val="18"/>
          <w:color w:val="auto"/>
        </w:rPr>
        <w:t xml:space="preserve"> day of February, 2021.</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CCP III Cayman GP Ltd.</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Susanne V.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Susanne V. Clark</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Authorized Signatory</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Centerbridge Associates III, L.P.</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CCP III Cayman GP Ltd., its general partner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Susanne V.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Susanne V. Clark</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Authorized Signatory</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CCP III AIV VII Holdings, L.P.</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By: Centerbridge Associates III, L.P., its general partner</w:t>
      </w:r>
    </w:p>
    <w:p>
      <w:pPr>
        <w:spacing w:after="0" w:line="2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CCP III Cayman GP Ltd., its general partner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Susanne V.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Susanne V. Clark</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Authorized Signatory</w:t>
      </w:r>
    </w:p>
    <w:p>
      <w:pPr>
        <w:sectPr>
          <w:pgSz w:w="11900" w:h="16838" w:orient="portrait"/>
          <w:cols w:equalWidth="0" w:num="1">
            <w:col w:w="11020"/>
          </w:cols>
          <w:pgMar w:left="440" w:top="121" w:right="439" w:bottom="1440" w:gutter="0" w:footer="0" w:header="0"/>
        </w:sectPr>
      </w:pPr>
    </w:p>
    <w:bookmarkStart w:id="14" w:name="page15"/>
    <w:bookmarkEnd w:id="14"/>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CB Blizzard Co-Invest Holdings, L.P.</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By: Centerbridge Associates III, L.P., its general partner</w:t>
      </w:r>
    </w:p>
    <w:p>
      <w:pPr>
        <w:spacing w:after="0" w:line="3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CCP III Cayman GP Ltd., its 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Susanne V.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Susanne V. Clark</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Authorized Signatory</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Blizzard Aggregator, LLC</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CCP III Cayman GP Ltd., its sole manager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Susanne V.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Susanne V. Clark</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Authorized Signatory</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Jeffrey H. Aronson</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Jeffrey H. Aronson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14605</wp:posOffset>
            </wp:positionV>
            <wp:extent cx="279463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sectPr>
      <w:pgSz w:w="11900" w:h="16838" w:orient="portrait"/>
      <w:cols w:equalWidth="0" w:num="1">
        <w:col w:w="9660"/>
      </w:cols>
      <w:pgMar w:left="1440" w:top="270" w:right="7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
      <w:numFmt w:val="bullet"/>
      <w:start w:val="1"/>
    </w:lvl>
  </w:abstractNum>
  <w:abstractNum w:abstractNumId="3">
    <w:nsid w:val="6CEAF087"/>
    <w:multiLevelType w:val="hybridMultilevel"/>
    <w:lvl w:ilvl="0">
      <w:lvlJc w:val="left"/>
      <w:lvlText w:val="1"/>
      <w:numFmt w:val="bullet"/>
      <w:start w:val="1"/>
    </w:lvl>
  </w:abstractNum>
  <w:abstractNum w:abstractNumId="4">
    <w:nsid w:val="22221A70"/>
    <w:multiLevelType w:val="hybridMultilevel"/>
    <w:lvl w:ilvl="0">
      <w:lvlJc w:val="left"/>
      <w:lvlText w:val="2"/>
      <w:numFmt w:val="bullet"/>
      <w:start w:val="1"/>
    </w:lvl>
  </w:abstractNum>
  <w:abstractNum w:abstractNumId="5">
    <w:nsid w:val="4516DDE9"/>
    <w:multiLevelType w:val="hybridMultilevel"/>
    <w:lvl w:ilvl="0">
      <w:lvlJc w:val="left"/>
      <w:lvlText w:val="3"/>
      <w:numFmt w:val="bullet"/>
      <w:start w:val="1"/>
    </w:lvl>
  </w:abstractNum>
  <w:abstractNum w:abstractNumId="6">
    <w:nsid w:val="3006C83E"/>
    <w:multiLevelType w:val="hybridMultilevel"/>
    <w:lvl w:ilvl="0">
      <w:lvlJc w:val="left"/>
      <w:lvlText w:val="4"/>
      <w:numFmt w:val="bullet"/>
      <w:start w:val="1"/>
    </w:lvl>
  </w:abstractNum>
  <w:abstractNum w:abstractNumId="7">
    <w:nsid w:val="614FD4A1"/>
    <w:multiLevelType w:val="hybridMultilevel"/>
    <w:lvl w:ilvl="0">
      <w:lvlJc w:val="left"/>
      <w:lvlText w:val="5"/>
      <w:numFmt w:val="bullet"/>
      <w:start w:val="1"/>
    </w:lvl>
  </w:abstractNum>
  <w:abstractNum w:abstractNumId="8">
    <w:nsid w:val="419AC241"/>
    <w:multiLevelType w:val="hybridMultilevel"/>
    <w:lvl w:ilvl="0">
      <w:lvlJc w:val="left"/>
      <w:lvlText w:val="6"/>
      <w:numFmt w:val="bullet"/>
      <w:start w:val="1"/>
    </w:lvl>
  </w:abstractNum>
  <w:abstractNum w:abstractNumId="9">
    <w:nsid w:val="5577F8E1"/>
    <w:multiLevelType w:val="hybridMultilevel"/>
    <w:lvl w:ilvl="0">
      <w:lvlJc w:val="left"/>
      <w:lvlText w:val="7"/>
      <w:numFmt w:val="bullet"/>
      <w:start w:val="1"/>
    </w:lvl>
  </w:abstractNum>
  <w:abstractNum w:abstractNumId="10">
    <w:nsid w:val="440BADFC"/>
    <w:multiLevelType w:val="hybridMultilevel"/>
    <w:lvl w:ilvl="0">
      <w:lvlJc w:val="left"/>
      <w:lvlText w:val="8"/>
      <w:numFmt w:val="bullet"/>
      <w:start w:val="1"/>
    </w:lvl>
  </w:abstractNum>
  <w:abstractNum w:abstractNumId="11">
    <w:nsid w:val="5072367"/>
    <w:multiLevelType w:val="hybridMultilevel"/>
    <w:lvl w:ilvl="0">
      <w:lvlJc w:val="left"/>
      <w:lvlText w:val="9"/>
      <w:numFmt w:val="bullet"/>
      <w:start w:val="1"/>
    </w:lvl>
  </w:abstractNum>
  <w:abstractNum w:abstractNumId="12">
    <w:nsid w:val="3804823E"/>
    <w:multiLevelType w:val="hybridMultilevel"/>
    <w:lvl w:ilvl="0">
      <w:lvlJc w:val="left"/>
      <w:lvlText w:val="1"/>
      <w:numFmt w:val="bullet"/>
      <w:start w:val="1"/>
    </w:lvl>
  </w:abstractNum>
  <w:abstractNum w:abstractNumId="13">
    <w:nsid w:val="77465F01"/>
    <w:multiLevelType w:val="hybridMultilevel"/>
    <w:lvl w:ilvl="0">
      <w:lvlJc w:val="left"/>
      <w:lvlText w:val="2"/>
      <w:numFmt w:val="bullet"/>
      <w:start w:val="1"/>
    </w:lvl>
  </w:abstractNum>
  <w:abstractNum w:abstractNumId="14">
    <w:nsid w:val="7724C67E"/>
    <w:multiLevelType w:val="hybridMultilevel"/>
    <w:lvl w:ilvl="0">
      <w:lvlJc w:val="left"/>
      <w:lvlText w:val="3"/>
      <w:numFmt w:val="bullet"/>
      <w:start w:val="1"/>
    </w:lvl>
  </w:abstractNum>
  <w:abstractNum w:abstractNumId="15">
    <w:nsid w:val="5C482A97"/>
    <w:multiLevelType w:val="hybridMultilevel"/>
    <w:lvl w:ilvl="0">
      <w:lvlJc w:val="left"/>
      <w:lvlText w:val="4"/>
      <w:numFmt w:val="bullet"/>
      <w:start w:val="1"/>
    </w:lvl>
  </w:abstractNum>
  <w:abstractNum w:abstractNumId="16">
    <w:nsid w:val="2463B9EA"/>
    <w:multiLevelType w:val="hybridMultilevel"/>
    <w:lvl w:ilvl="0">
      <w:lvlJc w:val="left"/>
      <w:lvlText w:val="5"/>
      <w:numFmt w:val="bullet"/>
      <w:start w:val="1"/>
    </w:lvl>
  </w:abstractNum>
  <w:abstractNum w:abstractNumId="17">
    <w:nsid w:val="5E884ADC"/>
    <w:multiLevelType w:val="hybridMultilevel"/>
    <w:lvl w:ilvl="0">
      <w:lvlJc w:val="left"/>
      <w:lvlText w:val="6"/>
      <w:numFmt w:val="bullet"/>
      <w:start w:val="1"/>
    </w:lvl>
  </w:abstractNum>
  <w:abstractNum w:abstractNumId="18">
    <w:nsid w:val="51EAD36B"/>
    <w:multiLevelType w:val="hybridMultilevel"/>
    <w:lvl w:ilvl="0">
      <w:lvlJc w:val="left"/>
      <w:lvlText w:val="7"/>
      <w:numFmt w:val="bullet"/>
      <w:start w:val="1"/>
    </w:lvl>
  </w:abstractNum>
  <w:abstractNum w:abstractNumId="19">
    <w:nsid w:val="2D517796"/>
    <w:multiLevelType w:val="hybridMultilevel"/>
    <w:lvl w:ilvl="0">
      <w:lvlJc w:val="left"/>
      <w:lvlText w:val="8"/>
      <w:numFmt w:val="bullet"/>
      <w:start w:val="1"/>
    </w:lvl>
  </w:abstractNum>
  <w:abstractNum w:abstractNumId="20">
    <w:nsid w:val="580BD78F"/>
    <w:multiLevelType w:val="hybridMultilevel"/>
    <w:lvl w:ilvl="0">
      <w:lvlJc w:val="left"/>
      <w:lvlText w:val="9"/>
      <w:numFmt w:val="bullet"/>
      <w:start w:val="1"/>
    </w:lvl>
  </w:abstractNum>
  <w:abstractNum w:abstractNumId="21">
    <w:nsid w:val="153EA438"/>
    <w:multiLevelType w:val="hybridMultilevel"/>
    <w:lvl w:ilvl="0">
      <w:lvlJc w:val="left"/>
      <w:lvlText w:val="1"/>
      <w:numFmt w:val="bullet"/>
      <w:start w:val="1"/>
    </w:lvl>
  </w:abstractNum>
  <w:abstractNum w:abstractNumId="22">
    <w:nsid w:val="3855585C"/>
    <w:multiLevelType w:val="hybridMultilevel"/>
    <w:lvl w:ilvl="0">
      <w:lvlJc w:val="left"/>
      <w:lvlText w:val="2"/>
      <w:numFmt w:val="bullet"/>
      <w:start w:val="1"/>
    </w:lvl>
  </w:abstractNum>
  <w:abstractNum w:abstractNumId="23">
    <w:nsid w:val="70A64E2A"/>
    <w:multiLevelType w:val="hybridMultilevel"/>
    <w:lvl w:ilvl="0">
      <w:lvlJc w:val="left"/>
      <w:lvlText w:val="3"/>
      <w:numFmt w:val="bullet"/>
      <w:start w:val="1"/>
    </w:lvl>
  </w:abstractNum>
  <w:abstractNum w:abstractNumId="24">
    <w:nsid w:val="6A2342EC"/>
    <w:multiLevelType w:val="hybridMultilevel"/>
    <w:lvl w:ilvl="0">
      <w:lvlJc w:val="left"/>
      <w:lvlText w:val="4"/>
      <w:numFmt w:val="bullet"/>
      <w:start w:val="1"/>
    </w:lvl>
  </w:abstractNum>
  <w:abstractNum w:abstractNumId="25">
    <w:nsid w:val="2A487CB0"/>
    <w:multiLevelType w:val="hybridMultilevel"/>
    <w:lvl w:ilvl="0">
      <w:lvlJc w:val="left"/>
      <w:lvlText w:val="5"/>
      <w:numFmt w:val="bullet"/>
      <w:start w:val="1"/>
    </w:lvl>
  </w:abstractNum>
  <w:abstractNum w:abstractNumId="26">
    <w:nsid w:val="1D4ED43B"/>
    <w:multiLevelType w:val="hybridMultilevel"/>
    <w:lvl w:ilvl="0">
      <w:lvlJc w:val="left"/>
      <w:lvlText w:val="6"/>
      <w:numFmt w:val="bullet"/>
      <w:start w:val="1"/>
    </w:lvl>
  </w:abstractNum>
  <w:abstractNum w:abstractNumId="27">
    <w:nsid w:val="725A06FB"/>
    <w:multiLevelType w:val="hybridMultilevel"/>
    <w:lvl w:ilvl="0">
      <w:lvlJc w:val="left"/>
      <w:lvlText w:val="7"/>
      <w:numFmt w:val="bullet"/>
      <w:start w:val="1"/>
    </w:lvl>
  </w:abstractNum>
  <w:abstractNum w:abstractNumId="28">
    <w:nsid w:val="2CD89A32"/>
    <w:multiLevelType w:val="hybridMultilevel"/>
    <w:lvl w:ilvl="0">
      <w:lvlJc w:val="left"/>
      <w:lvlText w:val="8"/>
      <w:numFmt w:val="bullet"/>
      <w:start w:val="1"/>
    </w:lvl>
  </w:abstractNum>
  <w:abstractNum w:abstractNumId="29">
    <w:nsid w:val="57E4CCAF"/>
    <w:multiLevelType w:val="hybridMultilevel"/>
    <w:lvl w:ilvl="0">
      <w:lvlJc w:val="left"/>
      <w:lvlText w:val="9"/>
      <w:numFmt w:val="bullet"/>
      <w:start w:val="1"/>
    </w:lvl>
  </w:abstractNum>
  <w:abstractNum w:abstractNumId="30">
    <w:nsid w:val="7A6D8D3C"/>
    <w:multiLevelType w:val="hybridMultilevel"/>
    <w:lvl w:ilvl="0">
      <w:lvlJc w:val="left"/>
      <w:lvlText w:val="1"/>
      <w:numFmt w:val="bullet"/>
      <w:start w:val="1"/>
    </w:lvl>
  </w:abstractNum>
  <w:abstractNum w:abstractNumId="31">
    <w:nsid w:val="4B588F54"/>
    <w:multiLevelType w:val="hybridMultilevel"/>
    <w:lvl w:ilvl="0">
      <w:lvlJc w:val="left"/>
      <w:lvlText w:val="2"/>
      <w:numFmt w:val="bullet"/>
      <w:start w:val="1"/>
    </w:lvl>
  </w:abstractNum>
  <w:abstractNum w:abstractNumId="32">
    <w:nsid w:val="542289EC"/>
    <w:multiLevelType w:val="hybridMultilevel"/>
    <w:lvl w:ilvl="0">
      <w:lvlJc w:val="left"/>
      <w:lvlText w:val="3"/>
      <w:numFmt w:val="bullet"/>
      <w:start w:val="1"/>
    </w:lvl>
  </w:abstractNum>
  <w:abstractNum w:abstractNumId="33">
    <w:nsid w:val="6DE91B18"/>
    <w:multiLevelType w:val="hybridMultilevel"/>
    <w:lvl w:ilvl="0">
      <w:lvlJc w:val="left"/>
      <w:lvlText w:val="4"/>
      <w:numFmt w:val="bullet"/>
      <w:start w:val="1"/>
    </w:lvl>
  </w:abstractNum>
  <w:abstractNum w:abstractNumId="34">
    <w:nsid w:val="38437FDB"/>
    <w:multiLevelType w:val="hybridMultilevel"/>
    <w:lvl w:ilvl="0">
      <w:lvlJc w:val="left"/>
      <w:lvlText w:val="5"/>
      <w:numFmt w:val="bullet"/>
      <w:start w:val="1"/>
    </w:lvl>
  </w:abstractNum>
  <w:abstractNum w:abstractNumId="35">
    <w:nsid w:val="7644A45C"/>
    <w:multiLevelType w:val="hybridMultilevel"/>
    <w:lvl w:ilvl="0">
      <w:lvlJc w:val="left"/>
      <w:lvlText w:val="6"/>
      <w:numFmt w:val="bullet"/>
      <w:start w:val="1"/>
    </w:lvl>
  </w:abstractNum>
  <w:abstractNum w:abstractNumId="36">
    <w:nsid w:val="32FFF902"/>
    <w:multiLevelType w:val="hybridMultilevel"/>
    <w:lvl w:ilvl="0">
      <w:lvlJc w:val="left"/>
      <w:lvlText w:val="7"/>
      <w:numFmt w:val="bullet"/>
      <w:start w:val="1"/>
    </w:lvl>
  </w:abstractNum>
  <w:abstractNum w:abstractNumId="37">
    <w:nsid w:val="684A481A"/>
    <w:multiLevelType w:val="hybridMultilevel"/>
    <w:lvl w:ilvl="0">
      <w:lvlJc w:val="left"/>
      <w:lvlText w:val="8"/>
      <w:numFmt w:val="bullet"/>
      <w:start w:val="1"/>
    </w:lvl>
  </w:abstractNum>
  <w:abstractNum w:abstractNumId="38">
    <w:nsid w:val="579478FE"/>
    <w:multiLevelType w:val="hybridMultilevel"/>
    <w:lvl w:ilvl="0">
      <w:lvlJc w:val="left"/>
      <w:lvlText w:val="9"/>
      <w:numFmt w:val="bullet"/>
      <w:start w:val="1"/>
    </w:lvl>
  </w:abstractNum>
  <w:abstractNum w:abstractNumId="39">
    <w:nsid w:val="749ABB43"/>
    <w:multiLevelType w:val="hybridMultilevel"/>
    <w:lvl w:ilvl="0">
      <w:lvlJc w:val="left"/>
      <w:lvlText w:val="1"/>
      <w:numFmt w:val="bullet"/>
      <w:start w:val="1"/>
    </w:lvl>
  </w:abstractNum>
  <w:abstractNum w:abstractNumId="40">
    <w:nsid w:val="3DC240FB"/>
    <w:multiLevelType w:val="hybridMultilevel"/>
    <w:lvl w:ilvl="0">
      <w:lvlJc w:val="left"/>
      <w:lvlText w:val="2"/>
      <w:numFmt w:val="bullet"/>
      <w:start w:val="1"/>
    </w:lvl>
  </w:abstractNum>
  <w:abstractNum w:abstractNumId="41">
    <w:nsid w:val="1BA026FA"/>
    <w:multiLevelType w:val="hybridMultilevel"/>
    <w:lvl w:ilvl="0">
      <w:lvlJc w:val="left"/>
      <w:lvlText w:val="3"/>
      <w:numFmt w:val="bullet"/>
      <w:start w:val="1"/>
    </w:lvl>
  </w:abstractNum>
  <w:abstractNum w:abstractNumId="42">
    <w:nsid w:val="79A1DEAA"/>
    <w:multiLevelType w:val="hybridMultilevel"/>
    <w:lvl w:ilvl="0">
      <w:lvlJc w:val="left"/>
      <w:lvlText w:val="4"/>
      <w:numFmt w:val="bullet"/>
      <w:start w:val="1"/>
    </w:lvl>
  </w:abstractNum>
  <w:abstractNum w:abstractNumId="43">
    <w:nsid w:val="75C6C33A"/>
    <w:multiLevelType w:val="hybridMultilevel"/>
    <w:lvl w:ilvl="0">
      <w:lvlJc w:val="left"/>
      <w:lvlText w:val="5"/>
      <w:numFmt w:val="bullet"/>
      <w:start w:val="1"/>
    </w:lvl>
  </w:abstractNum>
  <w:abstractNum w:abstractNumId="44">
    <w:nsid w:val="12E685FB"/>
    <w:multiLevelType w:val="hybridMultilevel"/>
    <w:lvl w:ilvl="0">
      <w:lvlJc w:val="left"/>
      <w:lvlText w:val="6"/>
      <w:numFmt w:val="bullet"/>
      <w:start w:val="1"/>
    </w:lvl>
  </w:abstractNum>
  <w:abstractNum w:abstractNumId="45">
    <w:nsid w:val="70C6A529"/>
    <w:multiLevelType w:val="hybridMultilevel"/>
    <w:lvl w:ilvl="0">
      <w:lvlJc w:val="left"/>
      <w:lvlText w:val="7"/>
      <w:numFmt w:val="bullet"/>
      <w:start w:val="1"/>
    </w:lvl>
  </w:abstractNum>
  <w:abstractNum w:abstractNumId="46">
    <w:nsid w:val="520EEDD1"/>
    <w:multiLevelType w:val="hybridMultilevel"/>
    <w:lvl w:ilvl="0">
      <w:lvlJc w:val="left"/>
      <w:lvlText w:val="8"/>
      <w:numFmt w:val="bullet"/>
      <w:start w:val="1"/>
    </w:lvl>
  </w:abstractNum>
  <w:abstractNum w:abstractNumId="47">
    <w:nsid w:val="374A3FE6"/>
    <w:multiLevelType w:val="hybridMultilevel"/>
    <w:lvl w:ilvl="0">
      <w:lvlJc w:val="left"/>
      <w:lvlText w:val="9"/>
      <w:numFmt w:val="bullet"/>
      <w:start w:val="1"/>
    </w:lvl>
  </w:abstractNum>
  <w:abstractNum w:abstractNumId="48">
    <w:nsid w:val="4F4EF005"/>
    <w:multiLevelType w:val="hybridMultilevel"/>
    <w:lvl w:ilvl="0">
      <w:lvlJc w:val="left"/>
      <w:lvlText w:val="%1"/>
      <w:numFmt w:val="decimal"/>
      <w:start w:val="12"/>
    </w:lvl>
    <w:lvl w:ilvl="1">
      <w:lvlJc w:val="left"/>
      <w:lvlText w:val="%2"/>
      <w:numFmt w:val="upperLetter"/>
      <w:start w:val="41"/>
    </w:lvl>
  </w:abstractNum>
  <w:abstractNum w:abstractNumId="49">
    <w:nsid w:val="23F9C13C"/>
    <w:multiLevelType w:val="hybridMultilevel"/>
    <w:lvl w:ilvl="0">
      <w:lvlJc w:val="left"/>
      <w:lvlText w:val="1"/>
      <w:numFmt w:val="bullet"/>
      <w:start w:val="1"/>
    </w:lvl>
  </w:abstractNum>
  <w:abstractNum w:abstractNumId="50">
    <w:nsid w:val="649BB77C"/>
    <w:multiLevelType w:val="hybridMultilevel"/>
    <w:lvl w:ilvl="0">
      <w:lvlJc w:val="left"/>
      <w:lvlText w:val="2"/>
      <w:numFmt w:val="bullet"/>
      <w:start w:val="1"/>
    </w:lvl>
  </w:abstractNum>
  <w:abstractNum w:abstractNumId="51">
    <w:nsid w:val="275AC794"/>
    <w:multiLevelType w:val="hybridMultilevel"/>
    <w:lvl w:ilvl="0">
      <w:lvlJc w:val="left"/>
      <w:lvlText w:val="3"/>
      <w:numFmt w:val="bullet"/>
      <w:start w:val="1"/>
    </w:lvl>
  </w:abstractNum>
  <w:abstractNum w:abstractNumId="52">
    <w:nsid w:val="39386575"/>
    <w:multiLevelType w:val="hybridMultilevel"/>
    <w:lvl w:ilvl="0">
      <w:lvlJc w:val="left"/>
      <w:lvlText w:val="4"/>
      <w:numFmt w:val="bullet"/>
      <w:start w:val="1"/>
    </w:lvl>
  </w:abstractNum>
  <w:abstractNum w:abstractNumId="53">
    <w:nsid w:val="1CF10FD8"/>
    <w:multiLevelType w:val="hybridMultilevel"/>
    <w:lvl w:ilvl="0">
      <w:lvlJc w:val="left"/>
      <w:lvlText w:val="5"/>
      <w:numFmt w:val="bullet"/>
      <w:start w:val="1"/>
    </w:lvl>
  </w:abstractNum>
  <w:abstractNum w:abstractNumId="54">
    <w:nsid w:val="180115BE"/>
    <w:multiLevelType w:val="hybridMultilevel"/>
    <w:lvl w:ilvl="0">
      <w:lvlJc w:val="left"/>
      <w:lvlText w:val="6"/>
      <w:numFmt w:val="bullet"/>
      <w:start w:val="1"/>
    </w:lvl>
  </w:abstractNum>
  <w:abstractNum w:abstractNumId="55">
    <w:nsid w:val="235BA861"/>
    <w:multiLevelType w:val="hybridMultilevel"/>
    <w:lvl w:ilvl="0">
      <w:lvlJc w:val="left"/>
      <w:lvlText w:val="7"/>
      <w:numFmt w:val="bullet"/>
      <w:start w:val="1"/>
    </w:lvl>
  </w:abstractNum>
  <w:abstractNum w:abstractNumId="56">
    <w:nsid w:val="47398C89"/>
    <w:multiLevelType w:val="hybridMultilevel"/>
    <w:lvl w:ilvl="0">
      <w:lvlJc w:val="left"/>
      <w:lvlText w:val="8"/>
      <w:numFmt w:val="bullet"/>
      <w:start w:val="1"/>
    </w:lvl>
  </w:abstractNum>
  <w:abstractNum w:abstractNumId="57">
    <w:nsid w:val="354FE9F9"/>
    <w:multiLevelType w:val="hybridMultilevel"/>
    <w:lvl w:ilvl="0">
      <w:lvlJc w:val="left"/>
      <w:lvlText w:val="9"/>
      <w:numFmt w:val="bullet"/>
      <w:start w:val="1"/>
    </w:lvl>
  </w:abstractNum>
  <w:abstractNum w:abstractNumId="58">
    <w:nsid w:val="15B5AF5C"/>
    <w:multiLevelType w:val="hybridMultilevel"/>
    <w:lvl w:ilvl="0">
      <w:lvlJc w:val="left"/>
      <w:lvlText w:val="(%1)"/>
      <w:numFmt w:val="lowerLetter"/>
      <w:start w:val="2"/>
    </w:lvl>
  </w:abstractNum>
  <w:abstractNum w:abstractNumId="59">
    <w:nsid w:val="741226BB"/>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2021-02-04T15:32:53Z</dcterms:created>
  <dcterms:modified xsi:type="dcterms:W3CDTF">2021-02-04T15:32:53Z</dcterms:modified>
</cp:coreProperties>
</file>