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FORM 8-K</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November 10, 2022</w:t>
      </w:r>
    </w:p>
    <w:p>
      <w:pPr>
        <w:spacing w:after="0" w:line="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26"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426"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26" w:right="339" w:bottom="1440" w:gutter="0" w:footer="0" w:header="0"/>
          <w:type w:val="continuous"/>
        </w:sectPr>
      </w:pPr>
    </w:p>
    <w:p>
      <w:pPr>
        <w:spacing w:after="0" w:line="82"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26"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426"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26" w:right="339" w:bottom="144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7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4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37"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8"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33"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On November 10, 2022, GoHealth, Inc. issued a press release announcing its financial results for the quarter ended September 30, 2022. A copy of the press release is furnished as Exhibit 99.1 to this Current Report on Form 8-K.</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72"/>
        </w:trPr>
        <w:tc>
          <w:tcPr>
            <w:tcW w:w="130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960" w:type="dxa"/>
            <w:vAlign w:val="bottom"/>
            <w:tcBorders>
              <w:top w:val="single" w:sz="8" w:color="auto"/>
              <w:bottom w:val="single" w:sz="8" w:color="0000FF"/>
            </w:tcBorders>
          </w:tcPr>
          <w:p>
            <w:pPr>
              <w:spacing w:after="0" w:line="172" w:lineRule="exact"/>
              <w:rPr>
                <w:sz w:val="20"/>
                <w:szCs w:val="20"/>
                <w:color w:val="auto"/>
              </w:rPr>
            </w:pPr>
            <w:r>
              <w:rPr>
                <w:rFonts w:ascii="Arial" w:cs="Arial" w:eastAsia="Arial" w:hAnsi="Arial"/>
                <w:sz w:val="16"/>
                <w:szCs w:val="16"/>
                <w:color w:val="0000FF"/>
              </w:rPr>
              <w:t>Press release, dated November 10, 2022</w:t>
            </w:r>
          </w:p>
        </w:tc>
        <w:tc>
          <w:tcPr>
            <w:tcW w:w="6880" w:type="dxa"/>
            <w:vAlign w:val="bottom"/>
            <w:tcBorders>
              <w:top w:val="single" w:sz="8" w:color="auto"/>
            </w:tcBorders>
          </w:tcPr>
          <w:p>
            <w:pPr>
              <w:spacing w:after="0"/>
              <w:rPr>
                <w:sz w:val="14"/>
                <w:szCs w:val="14"/>
                <w:color w:val="auto"/>
              </w:rPr>
            </w:pPr>
          </w:p>
        </w:tc>
      </w:tr>
      <w:tr>
        <w:trPr>
          <w:trHeight w:val="231"/>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7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0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215"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November 10, 2022</w:t>
      </w:r>
      <w:r>
        <w:rPr>
          <w:sz w:val="20"/>
          <w:szCs w:val="20"/>
          <w:color w:val="auto"/>
        </w:rPr>
        <w:tab/>
      </w:r>
      <w:r>
        <w:rPr>
          <w:rFonts w:ascii="Arial" w:cs="Arial" w:eastAsia="Arial" w:hAnsi="Arial"/>
          <w:sz w:val="15"/>
          <w:szCs w:val="15"/>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Jason Schulz</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999"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11430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Third Quarter 2022 Results</w:t>
      </w:r>
    </w:p>
    <w:p>
      <w:pPr>
        <w:spacing w:after="0" w:line="200" w:lineRule="exact"/>
        <w:rPr>
          <w:sz w:val="20"/>
          <w:szCs w:val="20"/>
          <w:color w:val="auto"/>
        </w:rPr>
      </w:pPr>
    </w:p>
    <w:p>
      <w:pPr>
        <w:spacing w:after="0" w:line="375"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 xml:space="preserve">CHICAGO, November 10, 2022 </w:t>
      </w:r>
      <w:r>
        <w:rPr>
          <w:rFonts w:ascii="Arial" w:cs="Arial" w:eastAsia="Arial" w:hAnsi="Arial"/>
          <w:sz w:val="16"/>
          <w:szCs w:val="16"/>
          <w:color w:val="auto"/>
        </w:rPr>
        <w:t>— GoHealth, Inc. (NASDAQ: GOCO), a leading health insurance marketplace and Medicare-focused digital health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today announced financial results for the three and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69850</wp:posOffset>
            </wp:positionV>
            <wp:extent cx="17145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213" w:lineRule="exact"/>
        <w:rPr>
          <w:sz w:val="20"/>
          <w:szCs w:val="20"/>
          <w:color w:val="auto"/>
        </w:rPr>
      </w:pPr>
    </w:p>
    <w:p>
      <w:pPr>
        <w:ind w:left="560" w:right="440"/>
        <w:spacing w:after="0" w:line="242" w:lineRule="auto"/>
        <w:rPr>
          <w:sz w:val="20"/>
          <w:szCs w:val="20"/>
          <w:color w:val="auto"/>
        </w:rPr>
      </w:pPr>
      <w:r>
        <w:rPr>
          <w:rFonts w:ascii="Arial" w:cs="Arial" w:eastAsia="Arial" w:hAnsi="Arial"/>
          <w:sz w:val="16"/>
          <w:szCs w:val="16"/>
          <w:color w:val="auto"/>
        </w:rPr>
        <w:t>YTD 2022 positive cash flow from operations of $101.9 million compared to negative cash flow from operations of $72.4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20320</wp:posOffset>
            </wp:positionV>
            <wp:extent cx="17145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95" w:lineRule="exact"/>
        <w:rPr>
          <w:sz w:val="20"/>
          <w:szCs w:val="20"/>
          <w:color w:val="auto"/>
        </w:rPr>
      </w:pPr>
    </w:p>
    <w:p>
      <w:pPr>
        <w:ind w:left="560" w:right="520"/>
        <w:spacing w:after="0" w:line="232" w:lineRule="auto"/>
        <w:rPr>
          <w:sz w:val="20"/>
          <w:szCs w:val="20"/>
          <w:color w:val="auto"/>
        </w:rPr>
      </w:pPr>
      <w:r>
        <w:rPr>
          <w:rFonts w:ascii="Arial" w:cs="Arial" w:eastAsia="Arial" w:hAnsi="Arial"/>
          <w:sz w:val="16"/>
          <w:szCs w:val="16"/>
          <w:color w:val="auto"/>
        </w:rPr>
        <w:t>Third quarter 2022 Medicare Submitted Policies of 132,831 decreased 34% compared to the prior year period. YTD 2022 Medicare Submitted Policies of 611,385 increased 11%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46990</wp:posOffset>
            </wp:positionV>
            <wp:extent cx="17145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37" w:lineRule="exact"/>
        <w:rPr>
          <w:sz w:val="20"/>
          <w:szCs w:val="20"/>
          <w:color w:val="auto"/>
        </w:rPr>
      </w:pPr>
    </w:p>
    <w:p>
      <w:pPr>
        <w:ind w:left="560" w:right="660"/>
        <w:spacing w:after="0" w:line="232" w:lineRule="auto"/>
        <w:rPr>
          <w:sz w:val="20"/>
          <w:szCs w:val="20"/>
          <w:color w:val="auto"/>
        </w:rPr>
      </w:pPr>
      <w:r>
        <w:rPr>
          <w:rFonts w:ascii="Arial" w:cs="Arial" w:eastAsia="Arial" w:hAnsi="Arial"/>
          <w:sz w:val="16"/>
          <w:szCs w:val="16"/>
          <w:color w:val="auto"/>
        </w:rPr>
        <w:t>Third quarter 2022 net revenue of $133.1 million decreased 37% compared to the prior year period. YTD 2022 net revenue of $562.3 million decreased 8%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91" w:lineRule="exact"/>
        <w:rPr>
          <w:sz w:val="20"/>
          <w:szCs w:val="20"/>
          <w:color w:val="auto"/>
        </w:rPr>
      </w:pPr>
    </w:p>
    <w:p>
      <w:pPr>
        <w:ind w:left="560" w:right="480"/>
        <w:spacing w:after="0" w:line="232" w:lineRule="auto"/>
        <w:rPr>
          <w:sz w:val="20"/>
          <w:szCs w:val="20"/>
          <w:color w:val="auto"/>
        </w:rPr>
      </w:pPr>
      <w:r>
        <w:rPr>
          <w:rFonts w:ascii="Arial" w:cs="Arial" w:eastAsia="Arial" w:hAnsi="Arial"/>
          <w:sz w:val="16"/>
          <w:szCs w:val="16"/>
          <w:color w:val="auto"/>
        </w:rPr>
        <w:t>Third quarter 2022 net loss of $74.7 million compared to a net loss of $55.5 million in the prior year period. YTD 2022 net loss of $225.6 million compared to a net loss of $102.0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Third quarter 2022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negative $14.3 million compared to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negative $14.2 million in the prior year period.</w:t>
      </w:r>
    </w:p>
    <w:p>
      <w:pPr>
        <w:ind w:left="560"/>
        <w:spacing w:after="0"/>
        <w:rPr>
          <w:sz w:val="20"/>
          <w:szCs w:val="20"/>
          <w:color w:val="auto"/>
        </w:rPr>
      </w:pPr>
      <w:r>
        <w:rPr>
          <w:rFonts w:ascii="Arial" w:cs="Arial" w:eastAsia="Arial" w:hAnsi="Arial"/>
          <w:sz w:val="16"/>
          <w:szCs w:val="16"/>
          <w:color w:val="auto"/>
        </w:rPr>
        <w:t>YTD 2022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negative $35.0 million compared to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$32.2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40575" cy="2048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2048510"/>
                    </a:xfrm>
                    <a:prstGeom prst="rect">
                      <a:avLst/>
                    </a:prstGeom>
                    <a:noFill/>
                  </pic:spPr>
                </pic:pic>
              </a:graphicData>
            </a:graphic>
          </wp:anchor>
        </w:drawing>
      </w:r>
    </w:p>
    <w:p>
      <w:pPr>
        <w:spacing w:after="0" w:line="400" w:lineRule="exact"/>
        <w:rPr>
          <w:sz w:val="20"/>
          <w:szCs w:val="20"/>
          <w:color w:val="auto"/>
        </w:rPr>
      </w:pPr>
    </w:p>
    <w:p>
      <w:pPr>
        <w:ind w:left="40" w:right="200"/>
        <w:spacing w:after="0" w:line="245" w:lineRule="auto"/>
        <w:rPr>
          <w:sz w:val="20"/>
          <w:szCs w:val="20"/>
          <w:color w:val="auto"/>
        </w:rPr>
      </w:pPr>
      <w:r>
        <w:rPr>
          <w:rFonts w:ascii="Arial" w:cs="Arial" w:eastAsia="Arial" w:hAnsi="Arial"/>
          <w:sz w:val="16"/>
          <w:szCs w:val="16"/>
          <w:color w:val="auto"/>
        </w:rPr>
        <w:t>“During the third quarter, GoHealth went back to basics with a clear focus on the fundamentals of the business and an aim to put the beneficiary at the center of everything we do. We are making meaningful progress on our transformation through our strategic initiatives and diversification into Encompass. This has materially changed the dynamics of cash flow for our business and we’re confident these positive trends will continue as we lean further into our Encompass solution,” said Vijay Kotte, GoHealth’s Chief Executive Officer.</w:t>
      </w:r>
    </w:p>
    <w:p>
      <w:pPr>
        <w:spacing w:after="0" w:line="221" w:lineRule="exact"/>
        <w:rPr>
          <w:sz w:val="20"/>
          <w:szCs w:val="20"/>
          <w:color w:val="auto"/>
        </w:rPr>
      </w:pPr>
    </w:p>
    <w:p>
      <w:pPr>
        <w:ind w:left="40" w:right="380"/>
        <w:spacing w:after="0" w:line="244" w:lineRule="auto"/>
        <w:rPr>
          <w:sz w:val="20"/>
          <w:szCs w:val="20"/>
          <w:color w:val="auto"/>
        </w:rPr>
      </w:pPr>
      <w:r>
        <w:rPr>
          <w:rFonts w:ascii="Arial" w:cs="Arial" w:eastAsia="Arial" w:hAnsi="Arial"/>
          <w:sz w:val="16"/>
          <w:szCs w:val="16"/>
          <w:color w:val="auto"/>
        </w:rPr>
        <w:t>“The market is in need of unbiased third parties to help support the Medicare shopping and enrollment process. The challenge has been the misaligned rewards structure and the lack of trust in the industry. GoHealth is leveraging our Encompass solution, our health plan relationships, our proprietary technology, and our experienced, high-quality sales agents to solve these industry challenges and act as a trusted partner to beneficiaries,” said Kotte.</w:t>
      </w:r>
    </w:p>
    <w:p>
      <w:pPr>
        <w:spacing w:after="0" w:line="235" w:lineRule="exact"/>
        <w:rPr>
          <w:sz w:val="20"/>
          <w:szCs w:val="20"/>
          <w:color w:val="auto"/>
        </w:rPr>
      </w:pPr>
    </w:p>
    <w:p>
      <w:pPr>
        <w:jc w:val="both"/>
        <w:ind w:left="40" w:right="80"/>
        <w:spacing w:after="0" w:line="237" w:lineRule="auto"/>
        <w:rPr>
          <w:sz w:val="20"/>
          <w:szCs w:val="20"/>
          <w:color w:val="auto"/>
        </w:rPr>
      </w:pPr>
      <w:r>
        <w:rPr>
          <w:rFonts w:ascii="Arial" w:cs="Arial" w:eastAsia="Arial" w:hAnsi="Arial"/>
          <w:sz w:val="16"/>
          <w:szCs w:val="16"/>
          <w:color w:val="auto"/>
        </w:rPr>
        <w:t>Mr. Kotte continued, “I believe our end-to-end Encompass solution will be a game changer for our customers, for health plans, and for the financial profile of our business. So far this Annual Enrollment Period, inclusive of a significant adoption of Encompass, we’re experiencing a 70% higher conversion rate than we were last year at this time.”</w:t>
      </w:r>
    </w:p>
    <w:p>
      <w:pPr>
        <w:spacing w:after="0" w:line="238" w:lineRule="exact"/>
        <w:rPr>
          <w:sz w:val="20"/>
          <w:szCs w:val="20"/>
          <w:color w:val="auto"/>
        </w:rPr>
      </w:pPr>
    </w:p>
    <w:p>
      <w:pPr>
        <w:ind w:left="40" w:right="640"/>
        <w:spacing w:after="0" w:line="242" w:lineRule="auto"/>
        <w:rPr>
          <w:sz w:val="20"/>
          <w:szCs w:val="20"/>
          <w:color w:val="auto"/>
        </w:rPr>
      </w:pPr>
      <w:r>
        <w:rPr>
          <w:rFonts w:ascii="Arial" w:cs="Arial" w:eastAsia="Arial" w:hAnsi="Arial"/>
          <w:sz w:val="16"/>
          <w:szCs w:val="16"/>
          <w:color w:val="auto"/>
        </w:rPr>
        <w:t>“I’m very pleased with the progress we’ve made in just a few short months. I believe GoHealth is best positioned to seize the opportunities at hand,” concluded Mr. Kotte.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7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Conference Call Details</w:t>
      </w:r>
    </w:p>
    <w:p>
      <w:pPr>
        <w:spacing w:after="0" w:line="255"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The Company will host a conference call today, Thursday, November 10, 2022 at 5:00 p.m. (ET) to discuss its financial results. Participants can pre-register for the conference call at the following link: https://register.vevent.com/register/BIe3f052938613486583fb292fcf47ae56 . A live audio webcast of the conference call will be available via GoHealth's Investor Relations website, https://investors.gohealth.com/. A replay of the call will be available via webcast for on-demand listening shortly after the completion of the call.</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14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As a leading health insurance marketplace and Medicare-focused digital health company,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carrier that is right for them. GoHealth has enrolled millions of people in Medicare plans and individual and family plans. For more information, visit https://www.gohealth.com.</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IR@gohealth.com</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26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This release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level of cash flow, future capital expenditures and debt service obligations are forward-looking statements.</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the we believe that the expectations reflected in these forward-looking statements are reasonable as of the date made, actual results may prove to be materially different from the results expressed or implied by the forward-looking statements.</w:t>
      </w:r>
    </w:p>
    <w:p>
      <w:pPr>
        <w:spacing w:after="0" w:line="228"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These forward-looking statements speak only as of the date of this release and are subject to a number of important factors that could cause actual results to differ materially from those in the forward-looking statements, including, but are not limited to, the following: the marketing and sale of Medicare plans are subject to numerous, complex and frequently changing laws, regulations and guidelines; our business may be harmed if we lose our relationships with carriers or if our relationships with carriers change; our failure to grow our customer base or retain our existing customers; carriers may reduce the commissions paid to us and change their underwriting practices in ways that reduce the number of, or impact the renewal or approval rates of, insurance policies sold through our platform; factors that impact our estimate of LTV (as defined below) may be adversely impacted; our management and independent auditors have identified a material weakness in our internal controls over financial reporting, and we may be unable to develop, implement and maintain appropriate controls in future periods, which may lead to errors or omissions in our financial statements; the potential delisting of our common stock from the Nasdaq Global Market; volatility in general economic conditions, including inflation, interest rates, and other commodity prices and exchange rates may impact our financial position and performance; our ability to borrow under the Credit Agreement is subject to ongoing compliance with a number of financial covenants, affirmative covenants, and other restrictions, which may limit our operations and our ability to take certain actions; we currently depend on a small group of carriers for a substantial portion of our revenue; information technology system failures could interrupt our operations; our ability to sell Medicare-related health insurance plans is largely dependent on our licensed health insurance agents; operating and growing our business may require additional capital; whether our Encompass solution will achieve anticipated benefits; our strategic focus on cash flow optimization may lead to decreased revenue or otherwise adversely affect our business; we may lose key employees or fail to attract qualified employees; our operations may be adversely impacted by a reduction in employee headcount or other similar actions; the Founders (as defined in our Annual Report on Form 10-K for the year ended December 31, 2021 (the “2021 Form 10-K”)) and Centerbridge (as defined in the 2021 Form 10-K) have significant influence over us, including control over decisions that require the approval of stockholders; and other important factors described in the section titled “Risk Factors” in our 2021 Form 10-K, and the section titled “Management’s Discussion and Analysis of Financial Condition and Results of Operations” in our Quarterly Report on Form 10-Q for the quarter ended September 30, 2022, and in our other filings with the Securities and Exchange Commission.</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the 2021 Form 10-K, Quarterly Report on Form 10-Q for the first quarter ended March 31, 2022, Quarterly Report on Form 10-Q for the second quarter ended June 30, 2022, and other SEC filings. If one or more events related to these or other risks or uncertainties materialize, or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47"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expense (benefit) and depreciation and amortization expense (“EBITDA”); Adjusted EBITDA and Adjusted EBITDA margin. Adjusted EBITDA is the primary financial performance measure used by management to evaluate its business and monitor its results of operations.</w:t>
      </w:r>
    </w:p>
    <w:p>
      <w:pPr>
        <w:spacing w:after="0" w:line="106"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Adjusted EBITDA represents, as applicable for the period, EBITDA as further adjusted for certain items summarized below in this press release. Adjusted EBITDA margin represents Adjusted EBITDA divided by net revenues.</w:t>
      </w:r>
    </w:p>
    <w:p>
      <w:pPr>
        <w:spacing w:after="0" w:line="87"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ind w:right="220"/>
        <w:spacing w:after="0" w:line="258" w:lineRule="auto"/>
        <w:rPr>
          <w:sz w:val="20"/>
          <w:szCs w:val="20"/>
          <w:color w:val="auto"/>
        </w:rPr>
      </w:pPr>
      <w:r>
        <w:rPr>
          <w:rFonts w:ascii="Arial" w:cs="Arial" w:eastAsia="Arial" w:hAnsi="Arial"/>
          <w:sz w:val="16"/>
          <w:szCs w:val="16"/>
          <w:color w:val="auto"/>
        </w:rPr>
        <w:t>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9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certain items summarized below in this press release.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“Approved Submissions” </w:t>
      </w:r>
      <w:r>
        <w:rPr>
          <w:rFonts w:ascii="Arial" w:cs="Arial" w:eastAsia="Arial" w:hAnsi="Arial"/>
          <w:sz w:val="16"/>
          <w:szCs w:val="16"/>
          <w:color w:val="auto"/>
        </w:rPr>
        <w:t>refer to Submitted Policies approved by carriers for the identified product during the indicated period.</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i w:val="1"/>
          <w:iCs w:val="1"/>
          <w:color w:val="auto"/>
        </w:rPr>
        <w:t xml:space="preserve">“LTV Per Approved Submission” </w:t>
      </w:r>
      <w:r>
        <w:rPr>
          <w:rFonts w:ascii="Arial" w:cs="Arial" w:eastAsia="Arial" w:hAnsi="Arial"/>
          <w:sz w:val="16"/>
          <w:szCs w:val="16"/>
          <w:color w:val="auto"/>
        </w:rPr>
        <w:t>refers to the Lifetime Value of Commissions per Approved Submission, which we define as (i) aggregate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“Submitted Policies” </w:t>
      </w:r>
      <w:r>
        <w:rPr>
          <w:rFonts w:ascii="Arial" w:cs="Arial" w:eastAsia="Arial" w:hAnsi="Arial"/>
          <w:sz w:val="16"/>
          <w:szCs w:val="16"/>
          <w:color w:val="auto"/>
        </w:rPr>
        <w:t>refer to completed applications that, with respect to each such application, the consumer has authorized us to submit to the carrier.</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232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Sep. 30, 2022</w:t>
            </w:r>
          </w:p>
        </w:tc>
        <w:tc>
          <w:tcPr>
            <w:tcW w:w="232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Sep. 30, 2021</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27"/>
        </w:trPr>
        <w:tc>
          <w:tcPr>
            <w:tcW w:w="45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6"/>
              </w:rPr>
              <w:t>% of Net</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6"/>
              </w:rPr>
              <w:t>% of Net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7"/>
        </w:trPr>
        <w:tc>
          <w:tcPr>
            <w:tcW w:w="4500" w:type="dxa"/>
            <w:vAlign w:val="bottom"/>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2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2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 Change</w:t>
            </w:r>
          </w:p>
        </w:tc>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 Change</w:t>
            </w:r>
          </w:p>
        </w:tc>
      </w:tr>
      <w:tr>
        <w:trPr>
          <w:trHeight w:val="162"/>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Net revenues:</w:t>
            </w: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87,058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65.4 %</w:t>
            </w:r>
          </w:p>
        </w:tc>
        <w:tc>
          <w:tcPr>
            <w:tcW w:w="80" w:type="dxa"/>
            <w:vAlign w:val="bottom"/>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174,948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82.6 %</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(87,890)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(50.2)%</w:t>
            </w: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45,994</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34.6 %</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36,786</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9,208</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25.0 %</w:t>
            </w: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133,052</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211,734</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(78,682)</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w:t>
            </w:r>
          </w:p>
        </w:tc>
      </w:tr>
      <w:tr>
        <w:trPr>
          <w:trHeight w:val="16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48,044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36.1 %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53,632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25.3 %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(5,588)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84"/>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22,661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59,511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(36,850)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51,153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38.4 %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86,775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41.0 %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(35,622)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(41.1)%</w:t>
            </w: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11,061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11,651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25,611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19.2 %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24,295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11.5 %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1,316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5.4 %</w:t>
            </w: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23,514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23,514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0.3 %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1,062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0.5 %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(712)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Restructuring and other related charges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9,797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192,191</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144.4 %</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260,440</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123.0 %</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(68,249)</w:t>
            </w: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w:t>
            </w:r>
          </w:p>
        </w:tc>
      </w:tr>
      <w:tr>
        <w:trPr>
          <w:trHeight w:val="176"/>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(59,139)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(48,706)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21.4 %</w:t>
            </w: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15,630</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11.7 %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6,921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8,709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125.8 %</w:t>
            </w: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(loss) before income taxes</w:t>
            </w: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(74,654)</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(56.1)%</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(55,597)</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(19,057)</w:t>
            </w: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34.3 %</w:t>
            </w:r>
          </w:p>
        </w:tc>
      </w:tr>
      <w:tr>
        <w:trPr>
          <w:trHeight w:val="175"/>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(74,654)</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(56.1)%</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(55,518)</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(19,136)</w:t>
            </w: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34.5 %</w:t>
            </w:r>
          </w:p>
        </w:tc>
      </w:tr>
      <w:tr>
        <w:trPr>
          <w:trHeight w:val="169"/>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(44,649)</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(35,278)</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(9,371)</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26.6 %</w:t>
            </w:r>
          </w:p>
        </w:tc>
      </w:tr>
      <w:tr>
        <w:trPr>
          <w:trHeight w:val="176"/>
        </w:trPr>
        <w:tc>
          <w:tcPr>
            <w:tcW w:w="450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(30,005)</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(22.6)%</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(20,240)</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(9.6)%</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(9,765)</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48.2 %</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3"/>
        </w:trPr>
        <w:tc>
          <w:tcPr>
            <w:tcW w:w="45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i w:val="1"/>
                <w:iCs w:val="1"/>
                <w:color w:val="auto"/>
              </w:rPr>
              <w:t>Net income (loss) per share:</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(0.23)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(0.18)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1"/>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shares of Class A common stock outstanding — basic and</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8"/>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132,378</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113,938</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70"/>
        </w:trPr>
        <w:tc>
          <w:tcPr>
            <w:tcW w:w="450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EBITDA</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(30,959)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(22,606)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(14,327)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(14,155)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4"/>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 margin</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8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7"/>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4"/>
          </w:tcPr>
          <w:p>
            <w:pPr>
              <w:spacing w:after="0"/>
              <w:rPr>
                <w:sz w:val="20"/>
                <w:szCs w:val="20"/>
                <w:color w:val="auto"/>
              </w:rPr>
            </w:pPr>
            <w:r>
              <w:rPr>
                <w:rFonts w:ascii="Arial" w:cs="Arial" w:eastAsia="Arial" w:hAnsi="Arial"/>
                <w:sz w:val="13"/>
                <w:szCs w:val="13"/>
                <w:b w:val="1"/>
                <w:bCs w:val="1"/>
                <w:color w:val="auto"/>
              </w:rPr>
              <w:t>Nine months ended Sep. 30, 2022</w:t>
            </w:r>
          </w:p>
        </w:tc>
        <w:tc>
          <w:tcPr>
            <w:tcW w:w="100" w:type="dxa"/>
            <w:vAlign w:val="bottom"/>
          </w:tcPr>
          <w:p>
            <w:pPr>
              <w:spacing w:after="0"/>
              <w:rPr>
                <w:sz w:val="15"/>
                <w:szCs w:val="15"/>
                <w:color w:val="auto"/>
              </w:rPr>
            </w:pPr>
          </w:p>
        </w:tc>
        <w:tc>
          <w:tcPr>
            <w:tcW w:w="2220" w:type="dxa"/>
            <w:vAlign w:val="bottom"/>
            <w:gridSpan w:val="4"/>
          </w:tcPr>
          <w:p>
            <w:pPr>
              <w:spacing w:after="0"/>
              <w:rPr>
                <w:sz w:val="20"/>
                <w:szCs w:val="20"/>
                <w:color w:val="auto"/>
              </w:rPr>
            </w:pPr>
            <w:r>
              <w:rPr>
                <w:rFonts w:ascii="Arial" w:cs="Arial" w:eastAsia="Arial" w:hAnsi="Arial"/>
                <w:sz w:val="13"/>
                <w:szCs w:val="13"/>
                <w:b w:val="1"/>
                <w:bCs w:val="1"/>
                <w:color w:val="auto"/>
              </w:rPr>
              <w:t>Nine months ended Sep. 30, 2021</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480" w:type="dxa"/>
            <w:vAlign w:val="bottom"/>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120" w:type="dxa"/>
            <w:vAlign w:val="bottom"/>
          </w:tcPr>
          <w:p>
            <w:pPr>
              <w:spacing w:after="0"/>
              <w:rPr>
                <w:sz w:val="15"/>
                <w:szCs w:val="15"/>
                <w:color w:val="auto"/>
              </w:rPr>
            </w:pPr>
          </w:p>
        </w:tc>
        <w:tc>
          <w:tcPr>
            <w:tcW w:w="1140" w:type="dxa"/>
            <w:vAlign w:val="bottom"/>
            <w:gridSpan w:val="2"/>
          </w:tcPr>
          <w:p>
            <w:pPr>
              <w:ind w:left="26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Revenues</w:t>
            </w:r>
          </w:p>
        </w:tc>
        <w:tc>
          <w:tcPr>
            <w:tcW w:w="100" w:type="dxa"/>
            <w:vAlign w:val="bottom"/>
          </w:tcPr>
          <w:p>
            <w:pPr>
              <w:spacing w:after="0"/>
              <w:rPr>
                <w:sz w:val="15"/>
                <w:szCs w:val="15"/>
                <w:color w:val="auto"/>
              </w:rPr>
            </w:pPr>
          </w:p>
        </w:tc>
        <w:tc>
          <w:tcPr>
            <w:tcW w:w="1140" w:type="dxa"/>
            <w:vAlign w:val="bottom"/>
            <w:gridSpan w:val="2"/>
          </w:tcPr>
          <w:p>
            <w:pPr>
              <w:ind w:left="26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 Change</w:t>
            </w:r>
          </w:p>
        </w:tc>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62"/>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Net revenues:</w:t>
            </w: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414,735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73.8 %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496,437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81.0 %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(81,702)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147,564</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26.2 %</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116,378</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31,186</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26.8 %</w:t>
            </w:r>
          </w:p>
        </w:tc>
        <w:tc>
          <w:tcPr>
            <w:tcW w:w="0" w:type="dxa"/>
            <w:vAlign w:val="bottom"/>
          </w:tcPr>
          <w:p>
            <w:pPr>
              <w:spacing w:after="0"/>
              <w:rPr>
                <w:sz w:val="1"/>
                <w:szCs w:val="1"/>
                <w:color w:val="auto"/>
              </w:rPr>
            </w:pP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562,299</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612,815</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(50,516)</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12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167,041</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29.7 %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139,449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27,592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19.8 %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151,408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169,730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(18,322)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12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196,150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34.9 %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195,796</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0.2 %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34,569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33,251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4.0 %</w:t>
            </w:r>
          </w:p>
        </w:tc>
        <w:tc>
          <w:tcPr>
            <w:tcW w:w="0" w:type="dxa"/>
            <w:vAlign w:val="bottom"/>
          </w:tcPr>
          <w:p>
            <w:pPr>
              <w:spacing w:after="0"/>
              <w:rPr>
                <w:sz w:val="1"/>
                <w:szCs w:val="1"/>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90,859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16.2 %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69,277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11.3 %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21,582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31.2 %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70,543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70,543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12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25,345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4.5 %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1,062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0.2 %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24,283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Restructuring and other related charges</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11,872</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747,787</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133.0 %</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679,108</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110.8 %</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68,679</w:t>
            </w: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10.1 %</w:t>
            </w:r>
          </w:p>
        </w:tc>
        <w:tc>
          <w:tcPr>
            <w:tcW w:w="0" w:type="dxa"/>
            <w:vAlign w:val="bottom"/>
          </w:tcPr>
          <w:p>
            <w:pPr>
              <w:spacing w:after="0"/>
              <w:rPr>
                <w:sz w:val="1"/>
                <w:szCs w:val="1"/>
                <w:color w:val="auto"/>
              </w:rPr>
            </w:pPr>
          </w:p>
        </w:tc>
      </w:tr>
      <w:tr>
        <w:trPr>
          <w:trHeight w:val="176"/>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(185,488)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(66,293)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(119,195)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179.8 %</w:t>
            </w: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39,752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23,886</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15,866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66.4 %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extinguishment of debt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11,935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4480" w:type="dxa"/>
            <w:vAlign w:val="bottom"/>
          </w:tcPr>
          <w:p>
            <w:pPr>
              <w:ind w:left="20"/>
              <w:spacing w:after="0"/>
              <w:rPr>
                <w:sz w:val="20"/>
                <w:szCs w:val="20"/>
                <w:color w:val="auto"/>
              </w:rPr>
            </w:pPr>
            <w:r>
              <w:rPr>
                <w:rFonts w:ascii="Arial" w:cs="Arial" w:eastAsia="Arial" w:hAnsi="Arial"/>
                <w:sz w:val="13"/>
                <w:szCs w:val="13"/>
                <w:color w:val="auto"/>
              </w:rPr>
              <w:t>Other (income) expense</w:t>
            </w:r>
          </w:p>
        </w:tc>
        <w:tc>
          <w:tcPr>
            <w:tcW w:w="12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(340.7)%</w:t>
            </w:r>
          </w:p>
        </w:tc>
        <w:tc>
          <w:tcPr>
            <w:tcW w:w="0" w:type="dxa"/>
            <w:vAlign w:val="bottom"/>
          </w:tcPr>
          <w:p>
            <w:pPr>
              <w:spacing w:after="0"/>
              <w:rPr>
                <w:sz w:val="1"/>
                <w:szCs w:val="1"/>
                <w:color w:val="auto"/>
              </w:rPr>
            </w:pPr>
          </w:p>
        </w:tc>
      </w:tr>
      <w:tr>
        <w:trPr>
          <w:trHeight w:val="17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(225,175)</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(102,141)</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(123,034)</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120.5 %</w:t>
            </w:r>
          </w:p>
        </w:tc>
        <w:tc>
          <w:tcPr>
            <w:tcW w:w="0" w:type="dxa"/>
            <w:vAlign w:val="bottom"/>
          </w:tcPr>
          <w:p>
            <w:pPr>
              <w:spacing w:after="0"/>
              <w:rPr>
                <w:sz w:val="1"/>
                <w:szCs w:val="1"/>
                <w:color w:val="auto"/>
              </w:rPr>
            </w:pPr>
          </w:p>
        </w:tc>
      </w:tr>
      <w:tr>
        <w:trPr>
          <w:trHeight w:val="162"/>
        </w:trPr>
        <w:tc>
          <w:tcPr>
            <w:tcW w:w="448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472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0.1 %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(142)</w:t>
            </w: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614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(225,647)</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(101,999)</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(123,648)</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121.2 %</w:t>
            </w:r>
          </w:p>
        </w:tc>
        <w:tc>
          <w:tcPr>
            <w:tcW w:w="0" w:type="dxa"/>
            <w:vAlign w:val="bottom"/>
          </w:tcPr>
          <w:p>
            <w:pPr>
              <w:spacing w:after="0"/>
              <w:rPr>
                <w:sz w:val="1"/>
                <w:szCs w:val="1"/>
                <w:color w:val="auto"/>
              </w:rPr>
            </w:pP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(138,340)</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(67,668)</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(70,672)</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104.4 %</w:t>
            </w:r>
          </w:p>
        </w:tc>
        <w:tc>
          <w:tcPr>
            <w:tcW w:w="0" w:type="dxa"/>
            <w:vAlign w:val="bottom"/>
          </w:tcPr>
          <w:p>
            <w:pPr>
              <w:spacing w:after="0"/>
              <w:rPr>
                <w:sz w:val="1"/>
                <w:szCs w:val="1"/>
                <w:color w:val="auto"/>
              </w:rPr>
            </w:pPr>
          </w:p>
        </w:tc>
      </w:tr>
      <w:tr>
        <w:trPr>
          <w:trHeight w:val="201"/>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loss attributable to GoHealth,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(87,307)</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(34,331)</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(52,976)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154.3 %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(0.70)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(0.33)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80" w:type="dxa"/>
            <w:vAlign w:val="bottom"/>
          </w:tcPr>
          <w:p>
            <w:pPr>
              <w:ind w:left="20"/>
              <w:spacing w:after="0" w:line="129" w:lineRule="exact"/>
              <w:rPr>
                <w:sz w:val="20"/>
                <w:szCs w:val="20"/>
                <w:color w:val="auto"/>
              </w:rPr>
            </w:pPr>
            <w:r>
              <w:rPr>
                <w:rFonts w:ascii="Arial" w:cs="Arial" w:eastAsia="Arial" w:hAnsi="Arial"/>
                <w:sz w:val="13"/>
                <w:szCs w:val="13"/>
                <w:color w:val="auto"/>
                <w:w w:val="99"/>
              </w:rPr>
              <w:t>Weighted-average shares of Class A common stock outstanding — basic and</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80" w:type="dxa"/>
            <w:vAlign w:val="bottom"/>
          </w:tcPr>
          <w:p>
            <w:pPr>
              <w:ind w:left="2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5"/>
                <w:szCs w:val="15"/>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124,401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102,939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EBITDA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(104,999)</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(1,080)</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(34,995)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32,197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48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5.3 %</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06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3"/>
                <w:szCs w:val="13"/>
                <w:b w:val="1"/>
                <w:bCs w:val="1"/>
                <w:color w:val="auto"/>
              </w:rPr>
              <w:t>Three months ended Sep. 30,</w:t>
            </w:r>
          </w:p>
        </w:tc>
        <w:tc>
          <w:tcPr>
            <w:tcW w:w="0" w:type="dxa"/>
            <w:vAlign w:val="bottom"/>
          </w:tcPr>
          <w:p>
            <w:pPr>
              <w:spacing w:after="0"/>
              <w:rPr>
                <w:sz w:val="1"/>
                <w:szCs w:val="1"/>
                <w:color w:val="auto"/>
              </w:rPr>
            </w:pPr>
          </w:p>
        </w:tc>
      </w:tr>
      <w:tr>
        <w:trPr>
          <w:trHeight w:val="172"/>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133,052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211,734</w:t>
            </w:r>
          </w:p>
        </w:tc>
        <w:tc>
          <w:tcPr>
            <w:tcW w:w="0" w:type="dxa"/>
            <w:vAlign w:val="bottom"/>
          </w:tcPr>
          <w:p>
            <w:pPr>
              <w:spacing w:after="0"/>
              <w:rPr>
                <w:sz w:val="1"/>
                <w:szCs w:val="1"/>
                <w:color w:val="auto"/>
              </w:rPr>
            </w:pPr>
          </w:p>
        </w:tc>
      </w:tr>
      <w:tr>
        <w:trPr>
          <w:trHeight w:val="161"/>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(74,654)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(55,518)</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15,630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6,921</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24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28,065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26,070</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(30,959)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(22,606)</w:t>
            </w:r>
          </w:p>
        </w:tc>
        <w:tc>
          <w:tcPr>
            <w:tcW w:w="0" w:type="dxa"/>
            <w:vAlign w:val="bottom"/>
          </w:tcPr>
          <w:p>
            <w:pPr>
              <w:spacing w:after="0"/>
              <w:rPr>
                <w:sz w:val="1"/>
                <w:szCs w:val="1"/>
                <w:color w:val="auto"/>
              </w:rPr>
            </w:pPr>
          </w:p>
        </w:tc>
      </w:tr>
      <w:tr>
        <w:trPr>
          <w:trHeight w:val="175"/>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Restructuring and other related charges (1)</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9,797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Share-based compensation expense (2)</w:t>
            </w:r>
          </w:p>
        </w:tc>
        <w:tc>
          <w:tcPr>
            <w:tcW w:w="240" w:type="dxa"/>
            <w:vAlign w:val="bottom"/>
          </w:tcPr>
          <w:p>
            <w:pPr>
              <w:spacing w:after="0"/>
              <w:rPr>
                <w:sz w:val="14"/>
                <w:szCs w:val="14"/>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6,456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7,389</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impairment charges (3)</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1,062</w:t>
            </w:r>
          </w:p>
        </w:tc>
        <w:tc>
          <w:tcPr>
            <w:tcW w:w="0" w:type="dxa"/>
            <w:vAlign w:val="bottom"/>
          </w:tcPr>
          <w:p>
            <w:pPr>
              <w:spacing w:after="0"/>
              <w:rPr>
                <w:sz w:val="1"/>
                <w:szCs w:val="1"/>
                <w:color w:val="auto"/>
              </w:rPr>
            </w:pPr>
          </w:p>
        </w:tc>
      </w:tr>
      <w:tr>
        <w:trPr>
          <w:trHeight w:val="169"/>
        </w:trPr>
        <w:tc>
          <w:tcPr>
            <w:tcW w:w="874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Professional services (4)</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(14,327)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(14,155)</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(10.8)%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employee termination benefits and other associated costs related to restructuring activities.</w:t>
      </w:r>
    </w:p>
    <w:p>
      <w:pPr>
        <w:spacing w:after="0" w:line="2" w:lineRule="exact"/>
        <w:rPr>
          <w:rFonts w:ascii="Arial" w:cs="Arial" w:eastAsia="Arial" w:hAnsi="Arial"/>
          <w:sz w:val="13"/>
          <w:szCs w:val="13"/>
          <w:i w:val="1"/>
          <w:iCs w:val="1"/>
          <w:color w:val="auto"/>
        </w:rPr>
      </w:pPr>
    </w:p>
    <w:p>
      <w:pPr>
        <w:ind w:left="320" w:hanging="312"/>
        <w:spacing w:after="0"/>
        <w:tabs>
          <w:tab w:leader="none" w:pos="320"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equity awards, as well share-based compensation expense relating to liability classified awards that will be settled in cash.</w:t>
      </w:r>
    </w:p>
    <w:p>
      <w:pPr>
        <w:spacing w:after="0" w:line="20" w:lineRule="exact"/>
        <w:rPr>
          <w:rFonts w:ascii="Arial" w:cs="Arial" w:eastAsia="Arial" w:hAnsi="Arial"/>
          <w:sz w:val="12"/>
          <w:szCs w:val="12"/>
          <w:i w:val="1"/>
          <w:iCs w:val="1"/>
          <w:color w:val="auto"/>
        </w:rPr>
      </w:pP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ROU assets and leasehold improvements to the estimated fair values.</w:t>
      </w: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non-recurring consulting fees and other professional services.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3"/>
                <w:szCs w:val="13"/>
                <w:b w:val="1"/>
                <w:bCs w:val="1"/>
                <w:color w:val="auto"/>
              </w:rPr>
              <w:t>Nine months ended Sep. 30,</w:t>
            </w:r>
          </w:p>
        </w:tc>
      </w:tr>
      <w:tr>
        <w:trPr>
          <w:trHeight w:val="172"/>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2021</w:t>
            </w:r>
          </w:p>
        </w:tc>
      </w:tr>
      <w:tr>
        <w:trPr>
          <w:trHeight w:val="17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562,299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612,815</w:t>
            </w:r>
          </w:p>
        </w:tc>
      </w:tr>
      <w:tr>
        <w:trPr>
          <w:trHeight w:val="161"/>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6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(225,647)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(101,999)</w:t>
            </w: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39,752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23,886</w:t>
            </w: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26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472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(142)</w:t>
            </w: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80,424</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77,175</w:t>
            </w: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(104,999)</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(1,080)</w:t>
            </w:r>
          </w:p>
        </w:tc>
      </w:tr>
      <w:tr>
        <w:trPr>
          <w:trHeight w:val="176"/>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(1)</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25,868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20,100</w:t>
            </w: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Operating lease impairment charges (2)</w:t>
            </w:r>
          </w:p>
        </w:tc>
        <w:tc>
          <w:tcPr>
            <w:tcW w:w="26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25,345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1,062</w:t>
            </w: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Restructuring and other related charges (3)</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11,872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Professional services (4)</w:t>
            </w:r>
          </w:p>
        </w:tc>
        <w:tc>
          <w:tcPr>
            <w:tcW w:w="26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3,979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r>
      <w:tr>
        <w:trPr>
          <w:trHeight w:val="184"/>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Severance costs (5)</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2,940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r>
      <w:tr>
        <w:trPr>
          <w:trHeight w:val="167"/>
        </w:trPr>
        <w:tc>
          <w:tcPr>
            <w:tcW w:w="8740" w:type="dxa"/>
            <w:vAlign w:val="bottom"/>
          </w:tcPr>
          <w:p>
            <w:pPr>
              <w:ind w:left="240"/>
              <w:spacing w:after="0"/>
              <w:rPr>
                <w:sz w:val="20"/>
                <w:szCs w:val="20"/>
                <w:color w:val="auto"/>
              </w:rPr>
            </w:pPr>
            <w:r>
              <w:rPr>
                <w:rFonts w:ascii="Arial" w:cs="Arial" w:eastAsia="Arial" w:hAnsi="Arial"/>
                <w:sz w:val="13"/>
                <w:szCs w:val="13"/>
                <w:color w:val="auto"/>
              </w:rPr>
              <w:t>Loss on extinguishment of debt (6)</w:t>
            </w:r>
          </w:p>
        </w:tc>
        <w:tc>
          <w:tcPr>
            <w:tcW w:w="2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11,935</w:t>
            </w:r>
          </w:p>
        </w:tc>
      </w:tr>
      <w:tr>
        <w:trPr>
          <w:trHeight w:val="177"/>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Legal fees (7)</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180</w:t>
            </w:r>
          </w:p>
        </w:tc>
      </w:tr>
      <w:tr>
        <w:trPr>
          <w:trHeight w:val="176"/>
        </w:trPr>
        <w:tc>
          <w:tcPr>
            <w:tcW w:w="8740" w:type="dxa"/>
            <w:vAlign w:val="bottom"/>
          </w:tcPr>
          <w:p>
            <w:pPr>
              <w:ind w:left="20"/>
              <w:spacing w:after="0"/>
              <w:rPr>
                <w:sz w:val="20"/>
                <w:szCs w:val="20"/>
                <w:color w:val="auto"/>
              </w:rPr>
            </w:pPr>
            <w:r>
              <w:rPr>
                <w:rFonts w:ascii="Arial" w:cs="Arial" w:eastAsia="Arial" w:hAnsi="Arial"/>
                <w:sz w:val="13"/>
                <w:szCs w:val="13"/>
                <w:b w:val="1"/>
                <w:bCs w:val="1"/>
                <w:color w:val="auto"/>
              </w:rPr>
              <w:t>Adjusted EBITDA</w:t>
            </w: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(34,995)</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32,197</w:t>
            </w: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9"/>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equity awards, as well share-based compensation expense relating to liability classified awards that will be settled in cash.</w:t>
      </w:r>
    </w:p>
    <w:p>
      <w:pPr>
        <w:spacing w:after="0" w:line="10" w:lineRule="exact"/>
        <w:rPr>
          <w:rFonts w:ascii="Arial" w:cs="Arial" w:eastAsia="Arial" w:hAnsi="Arial"/>
          <w:sz w:val="12"/>
          <w:szCs w:val="12"/>
          <w:i w:val="1"/>
          <w:iCs w:val="1"/>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ROU assets and leasehold improvements to the estimated fair values.</w:t>
      </w:r>
    </w:p>
    <w:p>
      <w:pPr>
        <w:spacing w:after="0" w:line="2" w:lineRule="exact"/>
        <w:rPr>
          <w:rFonts w:ascii="Arial" w:cs="Arial" w:eastAsia="Arial" w:hAnsi="Arial"/>
          <w:sz w:val="13"/>
          <w:szCs w:val="13"/>
          <w:i w:val="1"/>
          <w:iCs w:val="1"/>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employee termination benefits and other associated costs related to restructuring activities.</w:t>
      </w:r>
    </w:p>
    <w:p>
      <w:pPr>
        <w:spacing w:after="0" w:line="9" w:lineRule="exact"/>
        <w:rPr>
          <w:rFonts w:ascii="Arial" w:cs="Arial" w:eastAsia="Arial" w:hAnsi="Arial"/>
          <w:sz w:val="13"/>
          <w:szCs w:val="13"/>
          <w:i w:val="1"/>
          <w:iCs w:val="1"/>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non-recurring consulting fees and other professional services.</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 and associated fees unrelated to restructuring activities.</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Initial Term Loan Facility.</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our core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Sep. 30,</w:t>
            </w:r>
          </w:p>
        </w:tc>
        <w:tc>
          <w:tcPr>
            <w:tcW w:w="200" w:type="dxa"/>
            <w:vAlign w:val="bottom"/>
          </w:tcPr>
          <w:p>
            <w:pPr>
              <w:spacing w:after="0"/>
              <w:rPr>
                <w:sz w:val="15"/>
                <w:szCs w:val="15"/>
                <w:color w:val="auto"/>
              </w:rPr>
            </w:pPr>
          </w:p>
        </w:tc>
        <w:tc>
          <w:tcPr>
            <w:tcW w:w="2100" w:type="dxa"/>
            <w:vAlign w:val="bottom"/>
            <w:gridSpan w:val="4"/>
          </w:tcPr>
          <w:p>
            <w:pPr>
              <w:jc w:val="right"/>
              <w:ind w:right="257"/>
              <w:spacing w:after="0"/>
              <w:rPr>
                <w:sz w:val="20"/>
                <w:szCs w:val="20"/>
                <w:color w:val="auto"/>
              </w:rPr>
            </w:pPr>
            <w:r>
              <w:rPr>
                <w:rFonts w:ascii="Arial" w:cs="Arial" w:eastAsia="Arial" w:hAnsi="Arial"/>
                <w:sz w:val="13"/>
                <w:szCs w:val="13"/>
                <w:b w:val="1"/>
                <w:bCs w:val="1"/>
                <w:color w:val="auto"/>
              </w:rPr>
              <w:t>Nine months ended Sep. 30,</w:t>
            </w:r>
          </w:p>
        </w:tc>
      </w:tr>
      <w:tr>
        <w:trPr>
          <w:trHeight w:val="172"/>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r>
      <w:tr>
        <w:trPr>
          <w:trHeight w:val="173"/>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 and advertising</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w:t>
            </w: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Customer care and enrollment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2,796</w:t>
            </w: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2,791</w:t>
            </w:r>
          </w:p>
        </w:tc>
      </w:tr>
      <w:tr>
        <w:trPr>
          <w:trHeight w:val="16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13,051</w:t>
            </w:r>
          </w:p>
        </w:tc>
      </w:tr>
      <w:tr>
        <w:trPr>
          <w:trHeight w:val="20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share-based compensation expense</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6,456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7,389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25,868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20,100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78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00" w:type="dxa"/>
            <w:vAlign w:val="bottom"/>
          </w:tcPr>
          <w:p>
            <w:pPr>
              <w:ind w:left="20"/>
              <w:spacing w:after="0"/>
              <w:rPr>
                <w:sz w:val="20"/>
                <w:szCs w:val="20"/>
                <w:color w:val="auto"/>
              </w:rPr>
            </w:pPr>
            <w:r>
              <w:rPr>
                <w:rFonts w:ascii="Arial" w:cs="Arial" w:eastAsia="Arial" w:hAnsi="Arial"/>
                <w:sz w:val="13"/>
                <w:szCs w:val="13"/>
                <w:color w:val="auto"/>
              </w:rPr>
              <w:t>(in thousands, except per share amounts)</w:t>
            </w: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 30, 2022</w:t>
            </w:r>
          </w:p>
        </w:tc>
        <w:tc>
          <w:tcPr>
            <w:tcW w:w="180" w:type="dxa"/>
            <w:vAlign w:val="bottom"/>
          </w:tcPr>
          <w:p>
            <w:pPr>
              <w:spacing w:after="0"/>
              <w:rPr>
                <w:sz w:val="15"/>
                <w:szCs w:val="15"/>
                <w:color w:val="auto"/>
              </w:rPr>
            </w:pPr>
          </w:p>
        </w:tc>
        <w:tc>
          <w:tcPr>
            <w:tcW w:w="1140" w:type="dxa"/>
            <w:vAlign w:val="bottom"/>
          </w:tcPr>
          <w:p>
            <w:pPr>
              <w:jc w:val="right"/>
              <w:ind w:right="197"/>
              <w:spacing w:after="0"/>
              <w:rPr>
                <w:sz w:val="20"/>
                <w:szCs w:val="20"/>
                <w:color w:val="auto"/>
              </w:rPr>
            </w:pPr>
            <w:r>
              <w:rPr>
                <w:rFonts w:ascii="Arial" w:cs="Arial" w:eastAsia="Arial" w:hAnsi="Arial"/>
                <w:sz w:val="13"/>
                <w:szCs w:val="13"/>
                <w:b w:val="1"/>
                <w:bCs w:val="1"/>
                <w:color w:val="auto"/>
              </w:rPr>
              <w:t>Dec. 31, 2021</w:t>
            </w:r>
          </w:p>
        </w:tc>
        <w:tc>
          <w:tcPr>
            <w:tcW w:w="0" w:type="dxa"/>
            <w:vAlign w:val="bottom"/>
          </w:tcPr>
          <w:p>
            <w:pPr>
              <w:spacing w:after="0"/>
              <w:rPr>
                <w:sz w:val="1"/>
                <w:szCs w:val="1"/>
                <w:color w:val="auto"/>
              </w:rPr>
            </w:pPr>
          </w:p>
        </w:tc>
      </w:tr>
      <w:tr>
        <w:trPr>
          <w:trHeight w:val="162"/>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50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215,403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84,361</w:t>
            </w:r>
          </w:p>
        </w:tc>
        <w:tc>
          <w:tcPr>
            <w:tcW w:w="0" w:type="dxa"/>
            <w:vAlign w:val="bottom"/>
          </w:tcPr>
          <w:p>
            <w:pPr>
              <w:spacing w:after="0"/>
              <w:rPr>
                <w:sz w:val="1"/>
                <w:szCs w:val="1"/>
                <w:color w:val="auto"/>
              </w:rPr>
            </w:pPr>
          </w:p>
        </w:tc>
      </w:tr>
      <w:tr>
        <w:trPr>
          <w:trHeight w:val="167"/>
        </w:trPr>
        <w:tc>
          <w:tcPr>
            <w:tcW w:w="850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$271 in 2022 and $558 in 2021</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4,835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17,276</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receivable - 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217,937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268,663</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29,972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58,695</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468,147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428,995</w:t>
            </w:r>
          </w:p>
        </w:tc>
        <w:tc>
          <w:tcPr>
            <w:tcW w:w="0" w:type="dxa"/>
            <w:vAlign w:val="bottom"/>
          </w:tcPr>
          <w:p>
            <w:pPr>
              <w:spacing w:after="0"/>
              <w:rPr>
                <w:sz w:val="1"/>
                <w:szCs w:val="1"/>
                <w:color w:val="auto"/>
              </w:rPr>
            </w:pPr>
          </w:p>
        </w:tc>
      </w:tr>
      <w:tr>
        <w:trPr>
          <w:trHeight w:val="161"/>
        </w:trPr>
        <w:tc>
          <w:tcPr>
            <w:tcW w:w="8500" w:type="dxa"/>
            <w:vAlign w:val="bottom"/>
          </w:tcPr>
          <w:p>
            <w:pPr>
              <w:ind w:left="20"/>
              <w:spacing w:after="0"/>
              <w:rPr>
                <w:sz w:val="20"/>
                <w:szCs w:val="20"/>
                <w:color w:val="auto"/>
              </w:rPr>
            </w:pPr>
            <w:r>
              <w:rPr>
                <w:rFonts w:ascii="Arial" w:cs="Arial" w:eastAsia="Arial" w:hAnsi="Arial"/>
                <w:sz w:val="13"/>
                <w:szCs w:val="13"/>
                <w:color w:val="auto"/>
              </w:rPr>
              <w:t>Commissions receivable - non-current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959,105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993,844</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ROU asset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23,462</w:t>
            </w:r>
          </w:p>
        </w:tc>
        <w:tc>
          <w:tcPr>
            <w:tcW w:w="0" w:type="dxa"/>
            <w:vAlign w:val="bottom"/>
          </w:tcPr>
          <w:p>
            <w:pPr>
              <w:spacing w:after="0"/>
              <w:rPr>
                <w:sz w:val="1"/>
                <w:szCs w:val="1"/>
                <w:color w:val="auto"/>
              </w:rPr>
            </w:pP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Other long-term assets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3,608</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24,273</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Intangible assets, net</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524,126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594,669</w:t>
            </w:r>
          </w:p>
        </w:tc>
        <w:tc>
          <w:tcPr>
            <w:tcW w:w="0" w:type="dxa"/>
            <w:vAlign w:val="bottom"/>
          </w:tcPr>
          <w:p>
            <w:pPr>
              <w:spacing w:after="0"/>
              <w:rPr>
                <w:sz w:val="1"/>
                <w:szCs w:val="1"/>
                <w:color w:val="auto"/>
              </w:rPr>
            </w:pPr>
          </w:p>
        </w:tc>
      </w:tr>
      <w:tr>
        <w:trPr>
          <w:trHeight w:val="201"/>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2,001,676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2,068,851</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9,370</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39,843</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liabilities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52,788</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Commissions payable - current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69,501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104,160</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Short-term operating lease liability</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6,126</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114,181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5,270</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15,402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8,344</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255,421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217,067</w:t>
            </w:r>
          </w:p>
        </w:tc>
        <w:tc>
          <w:tcPr>
            <w:tcW w:w="0" w:type="dxa"/>
            <w:vAlign w:val="bottom"/>
          </w:tcPr>
          <w:p>
            <w:pPr>
              <w:spacing w:after="0"/>
              <w:rPr>
                <w:sz w:val="1"/>
                <w:szCs w:val="1"/>
                <w:color w:val="auto"/>
              </w:rPr>
            </w:pPr>
          </w:p>
        </w:tc>
      </w:tr>
      <w:tr>
        <w:trPr>
          <w:trHeight w:val="150"/>
        </w:trPr>
        <w:tc>
          <w:tcPr>
            <w:tcW w:w="850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305,909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274,403</w:t>
            </w:r>
          </w:p>
        </w:tc>
        <w:tc>
          <w:tcPr>
            <w:tcW w:w="0" w:type="dxa"/>
            <w:vAlign w:val="bottom"/>
          </w:tcPr>
          <w:p>
            <w:pPr>
              <w:spacing w:after="0"/>
              <w:rPr>
                <w:sz w:val="1"/>
                <w:szCs w:val="1"/>
                <w:color w:val="auto"/>
              </w:rPr>
            </w:pPr>
          </w:p>
        </w:tc>
      </w:tr>
      <w:tr>
        <w:trPr>
          <w:trHeight w:val="167"/>
        </w:trPr>
        <w:tc>
          <w:tcPr>
            <w:tcW w:w="8500" w:type="dxa"/>
            <w:vAlign w:val="bottom"/>
          </w:tcPr>
          <w:p>
            <w:pPr>
              <w:ind w:left="240"/>
              <w:spacing w:after="0"/>
              <w:rPr>
                <w:sz w:val="20"/>
                <w:szCs w:val="20"/>
                <w:color w:val="auto"/>
              </w:rPr>
            </w:pPr>
            <w:r>
              <w:rPr>
                <w:rFonts w:ascii="Arial" w:cs="Arial" w:eastAsia="Arial" w:hAnsi="Arial"/>
                <w:sz w:val="13"/>
                <w:szCs w:val="13"/>
                <w:color w:val="auto"/>
              </w:rPr>
              <w:t>Long-term operating lease liability</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38,671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19,776</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Long-term debt, net of current portion</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660,387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665,115</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non-current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1,008,591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959,294</w:t>
            </w:r>
          </w:p>
        </w:tc>
        <w:tc>
          <w:tcPr>
            <w:tcW w:w="0" w:type="dxa"/>
            <w:vAlign w:val="bottom"/>
          </w:tcPr>
          <w:p>
            <w:pPr>
              <w:spacing w:after="0"/>
              <w:rPr>
                <w:sz w:val="1"/>
                <w:szCs w:val="1"/>
                <w:color w:val="auto"/>
              </w:rPr>
            </w:pPr>
          </w:p>
        </w:tc>
      </w:tr>
      <w:tr>
        <w:trPr>
          <w:trHeight w:val="148"/>
        </w:trPr>
        <w:tc>
          <w:tcPr>
            <w:tcW w:w="8500" w:type="dxa"/>
            <w:vAlign w:val="bottom"/>
          </w:tcPr>
          <w:p>
            <w:pPr>
              <w:ind w:left="20"/>
              <w:spacing w:after="0" w:line="139" w:lineRule="exact"/>
              <w:rPr>
                <w:sz w:val="20"/>
                <w:szCs w:val="20"/>
                <w:color w:val="auto"/>
              </w:rPr>
            </w:pPr>
            <w:r>
              <w:rPr>
                <w:rFonts w:ascii="Arial" w:cs="Arial" w:eastAsia="Arial" w:hAnsi="Arial"/>
                <w:sz w:val="13"/>
                <w:szCs w:val="13"/>
                <w:color w:val="auto"/>
              </w:rPr>
              <w:t>Commitments and Contingencies (Note 11)</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Series A redeemable convertible preferred stock — $0.0001 par value; 50 shares authorized; 50 shares issued and outstanding at September 30,</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 No shares issued and outstanding as of December 31, 2021. Liquidation preference of $1,001 per share at September 30, 2022.</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8500" w:type="dxa"/>
            <w:vAlign w:val="bottom"/>
          </w:tcPr>
          <w:p>
            <w:pPr>
              <w:ind w:left="20"/>
              <w:spacing w:after="0" w:line="143" w:lineRule="exact"/>
              <w:rPr>
                <w:sz w:val="20"/>
                <w:szCs w:val="20"/>
                <w:color w:val="auto"/>
              </w:rPr>
            </w:pPr>
            <w:r>
              <w:rPr>
                <w:rFonts w:ascii="Arial" w:cs="Arial" w:eastAsia="Arial" w:hAnsi="Arial"/>
                <w:sz w:val="13"/>
                <w:szCs w:val="13"/>
                <w:color w:val="auto"/>
                <w:w w:val="99"/>
              </w:rPr>
              <w:t>Series A-1 redeemable convertible preferred stock— $0.0001 par value; 200 shares authorized; no shares issued and outstanding at September 30,</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500" w:type="dxa"/>
            <w:vAlign w:val="bottom"/>
          </w:tcPr>
          <w:p>
            <w:pPr>
              <w:ind w:left="20"/>
              <w:spacing w:after="0"/>
              <w:rPr>
                <w:sz w:val="20"/>
                <w:szCs w:val="20"/>
                <w:color w:val="auto"/>
              </w:rPr>
            </w:pPr>
            <w:r>
              <w:rPr>
                <w:rFonts w:ascii="Arial" w:cs="Arial" w:eastAsia="Arial" w:hAnsi="Arial"/>
                <w:sz w:val="13"/>
                <w:szCs w:val="13"/>
                <w:color w:val="auto"/>
              </w:rPr>
              <w:t>2022 and December 31, 2021.</w:t>
            </w: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Stockholders’ equity:</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500" w:type="dxa"/>
            <w:vAlign w:val="bottom"/>
          </w:tcPr>
          <w:p>
            <w:pPr>
              <w:ind w:left="240"/>
              <w:spacing w:after="0" w:line="143" w:lineRule="exact"/>
              <w:rPr>
                <w:sz w:val="20"/>
                <w:szCs w:val="20"/>
                <w:color w:val="auto"/>
              </w:rPr>
            </w:pPr>
            <w:r>
              <w:rPr>
                <w:rFonts w:ascii="Arial" w:cs="Arial" w:eastAsia="Arial" w:hAnsi="Arial"/>
                <w:sz w:val="13"/>
                <w:szCs w:val="13"/>
                <w:color w:val="auto"/>
              </w:rPr>
              <w:t>Class A common stock – $0.0001 par value; 1,100,000 shares authorized; 133,462 and 115,487 shares issued; 133,271 and 115,487 shares</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500" w:type="dxa"/>
            <w:vAlign w:val="bottom"/>
          </w:tcPr>
          <w:p>
            <w:pPr>
              <w:ind w:left="240"/>
              <w:spacing w:after="0"/>
              <w:rPr>
                <w:sz w:val="20"/>
                <w:szCs w:val="20"/>
                <w:color w:val="auto"/>
              </w:rPr>
            </w:pPr>
            <w:r>
              <w:rPr>
                <w:rFonts w:ascii="Arial" w:cs="Arial" w:eastAsia="Arial" w:hAnsi="Arial"/>
                <w:sz w:val="13"/>
                <w:szCs w:val="13"/>
                <w:color w:val="auto"/>
              </w:rPr>
              <w:t>outstanding at September 30, 2022 and December 31, 2021, respectively.</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Class B common stock – $0.0001 par value; 578,192 and 587,360 shares authorized; 196,184 and 205,352 shares issued and outstanding at</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September 30, 2022 and December 31, 2021, respectively.</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43"/>
        </w:trPr>
        <w:tc>
          <w:tcPr>
            <w:tcW w:w="8500" w:type="dxa"/>
            <w:vAlign w:val="bottom"/>
          </w:tcPr>
          <w:p>
            <w:pPr>
              <w:ind w:left="240"/>
              <w:spacing w:after="0" w:line="143" w:lineRule="exact"/>
              <w:rPr>
                <w:sz w:val="20"/>
                <w:szCs w:val="20"/>
                <w:color w:val="auto"/>
              </w:rPr>
            </w:pPr>
            <w:r>
              <w:rPr>
                <w:rFonts w:ascii="Arial" w:cs="Arial" w:eastAsia="Arial" w:hAnsi="Arial"/>
                <w:sz w:val="13"/>
                <w:szCs w:val="13"/>
                <w:color w:val="auto"/>
              </w:rPr>
              <w:t>Preferred stock – $0.0001 par value; 20,000 shares authorized (including 50 shares of Series A redeemable convertible preferred stock</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500" w:type="dxa"/>
            <w:vAlign w:val="bottom"/>
          </w:tcPr>
          <w:p>
            <w:pPr>
              <w:ind w:left="240"/>
              <w:spacing w:after="0" w:line="122" w:lineRule="exact"/>
              <w:rPr>
                <w:sz w:val="20"/>
                <w:szCs w:val="20"/>
                <w:color w:val="auto"/>
              </w:rPr>
            </w:pPr>
            <w:r>
              <w:rPr>
                <w:rFonts w:ascii="Arial" w:cs="Arial" w:eastAsia="Arial" w:hAnsi="Arial"/>
                <w:sz w:val="13"/>
                <w:szCs w:val="13"/>
                <w:color w:val="auto"/>
                <w:w w:val="98"/>
              </w:rPr>
              <w:t>authorized and 200 shares of Series A-1 redeemable convertible preferred stock authorized); 50 shares issued and outstanding at September 30,</w:t>
            </w:r>
          </w:p>
        </w:tc>
        <w:tc>
          <w:tcPr>
            <w:tcW w:w="180" w:type="dxa"/>
            <w:vAlign w:val="bottom"/>
          </w:tcPr>
          <w:p>
            <w:pPr>
              <w:spacing w:after="0"/>
              <w:rPr>
                <w:sz w:val="10"/>
                <w:szCs w:val="10"/>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8500" w:type="dxa"/>
            <w:vAlign w:val="bottom"/>
          </w:tcPr>
          <w:p>
            <w:pPr>
              <w:ind w:left="240"/>
              <w:spacing w:after="0"/>
              <w:rPr>
                <w:sz w:val="20"/>
                <w:szCs w:val="20"/>
                <w:color w:val="auto"/>
              </w:rPr>
            </w:pPr>
            <w:r>
              <w:rPr>
                <w:rFonts w:ascii="Arial" w:cs="Arial" w:eastAsia="Arial" w:hAnsi="Arial"/>
                <w:sz w:val="13"/>
                <w:szCs w:val="13"/>
                <w:color w:val="auto"/>
              </w:rPr>
              <w:t>2022 and no shares issued and outstanding at December 31, 2021.</w:t>
            </w: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Treasury stock – at cost; 191 shares of Class A common stock at September 30, 2022</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621,118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561,447</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Accumulated deficit</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(295,691)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(208,317)</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324,944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353,103</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364,294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539,387</w:t>
            </w:r>
          </w:p>
        </w:tc>
        <w:tc>
          <w:tcPr>
            <w:tcW w:w="0" w:type="dxa"/>
            <w:vAlign w:val="bottom"/>
          </w:tcPr>
          <w:p>
            <w:pPr>
              <w:spacing w:after="0"/>
              <w:rPr>
                <w:sz w:val="1"/>
                <w:szCs w:val="1"/>
                <w:color w:val="auto"/>
              </w:rPr>
            </w:pPr>
          </w:p>
        </w:tc>
      </w:tr>
      <w:tr>
        <w:trPr>
          <w:trHeight w:val="16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w:t>
            </w: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689,238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892,490</w:t>
            </w:r>
          </w:p>
        </w:tc>
        <w:tc>
          <w:tcPr>
            <w:tcW w:w="0" w:type="dxa"/>
            <w:vAlign w:val="bottom"/>
          </w:tcPr>
          <w:p>
            <w:pPr>
              <w:spacing w:after="0"/>
              <w:rPr>
                <w:sz w:val="1"/>
                <w:szCs w:val="1"/>
                <w:color w:val="auto"/>
              </w:rPr>
            </w:pPr>
          </w:p>
        </w:tc>
      </w:tr>
      <w:tr>
        <w:trPr>
          <w:trHeight w:val="175"/>
        </w:trPr>
        <w:tc>
          <w:tcPr>
            <w:tcW w:w="8500" w:type="dxa"/>
            <w:vAlign w:val="bottom"/>
          </w:tcPr>
          <w:p>
            <w:pPr>
              <w:ind w:left="20"/>
              <w:spacing w:after="0"/>
              <w:rPr>
                <w:sz w:val="20"/>
                <w:szCs w:val="20"/>
                <w:color w:val="auto"/>
              </w:rPr>
            </w:pPr>
            <w:r>
              <w:rPr>
                <w:rFonts w:ascii="Arial" w:cs="Arial" w:eastAsia="Arial" w:hAnsi="Arial"/>
                <w:sz w:val="13"/>
                <w:szCs w:val="13"/>
                <w:b w:val="1"/>
                <w:bCs w:val="1"/>
                <w:color w:val="auto"/>
              </w:rPr>
              <w:t>Total liabilities, redeemable convertible preferred stock and stockholders’ equity</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2,001,676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2,068,851</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9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sets forth our statements of cash flows for the periods indicated (unaudited):</w:t>
      </w:r>
    </w:p>
    <w:p>
      <w:pPr>
        <w:spacing w:after="0" w:line="13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 Sep.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r>
      <w:tr>
        <w:trPr>
          <w:trHeight w:val="16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Net loss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(225,647)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(101,999)</w:t>
            </w: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22,776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20,100</w:t>
            </w: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6,632</w:t>
            </w: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70,543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70,543</w:t>
            </w: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w:t>
            </w: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Loss on extinguishment of debt</w:t>
            </w:r>
          </w:p>
        </w:tc>
        <w:tc>
          <w:tcPr>
            <w:tcW w:w="2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11,935</w:t>
            </w: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impairment charges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w:t>
            </w:r>
          </w:p>
        </w:tc>
      </w:tr>
      <w:tr>
        <w:trPr>
          <w:trHeight w:val="167"/>
        </w:trPr>
        <w:tc>
          <w:tcPr>
            <w:tcW w:w="8940" w:type="dxa"/>
            <w:vAlign w:val="bottom"/>
          </w:tcPr>
          <w:p>
            <w:pPr>
              <w:ind w:left="240"/>
              <w:spacing w:after="0"/>
              <w:rPr>
                <w:sz w:val="20"/>
                <w:szCs w:val="20"/>
                <w:color w:val="auto"/>
              </w:rPr>
            </w:pPr>
            <w:r>
              <w:rPr>
                <w:rFonts w:ascii="Arial" w:cs="Arial" w:eastAsia="Arial" w:hAnsi="Arial"/>
                <w:sz w:val="13"/>
                <w:szCs w:val="13"/>
                <w:color w:val="auto"/>
              </w:rPr>
              <w:t>Non-cash restructuring charges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lease expense</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3,765</w:t>
            </w: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Other non-cash items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(607)</w:t>
            </w: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i w:val="1"/>
                <w:iCs w:val="1"/>
                <w:color w:val="auto"/>
              </w:rPr>
              <w:t>Changes in assets and liabilities: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Accounts receivable</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12,852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6,173</w:t>
            </w: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receivable</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(160,982)</w:t>
            </w: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Prepaid expenses and other assets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29,608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10,471</w:t>
            </w: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payable</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18,298</w:t>
            </w: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Accrued liabilities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(20,818)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5,693</w:t>
            </w: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revenue</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r>
      <w:tr>
        <w:trPr>
          <w:trHeight w:val="167"/>
        </w:trPr>
        <w:tc>
          <w:tcPr>
            <w:tcW w:w="8940" w:type="dxa"/>
            <w:vAlign w:val="bottom"/>
          </w:tcPr>
          <w:p>
            <w:pPr>
              <w:ind w:left="460"/>
              <w:spacing w:after="0"/>
              <w:rPr>
                <w:sz w:val="20"/>
                <w:szCs w:val="20"/>
                <w:color w:val="auto"/>
              </w:rPr>
            </w:pPr>
            <w:r>
              <w:rPr>
                <w:rFonts w:ascii="Arial" w:cs="Arial" w:eastAsia="Arial" w:hAnsi="Arial"/>
                <w:sz w:val="13"/>
                <w:szCs w:val="13"/>
                <w:color w:val="auto"/>
              </w:rPr>
              <w:t>Commissions payable</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36,233</w:t>
            </w:r>
          </w:p>
        </w:tc>
      </w:tr>
      <w:tr>
        <w:trPr>
          <w:trHeight w:val="184"/>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Operating lease liabilities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(3,678)</w:t>
            </w:r>
          </w:p>
        </w:tc>
      </w:tr>
      <w:tr>
        <w:trPr>
          <w:trHeight w:val="169"/>
        </w:trPr>
        <w:tc>
          <w:tcPr>
            <w:tcW w:w="894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Other liabilities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11,121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2,421</w:t>
            </w:r>
          </w:p>
        </w:tc>
      </w:tr>
      <w:tr>
        <w:trPr>
          <w:trHeight w:val="176"/>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101,903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(72,419)</w:t>
            </w:r>
          </w:p>
        </w:tc>
      </w:tr>
      <w:tr>
        <w:trPr>
          <w:trHeight w:val="152"/>
        </w:trPr>
        <w:tc>
          <w:tcPr>
            <w:tcW w:w="894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Investing Activities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(12,096)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(19,269)</w:t>
            </w: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(12,096)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(19,269)</w:t>
            </w:r>
          </w:p>
        </w:tc>
      </w:tr>
      <w:tr>
        <w:trPr>
          <w:trHeight w:val="16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Proceeds from sale of Series A redeemable convertible preferred stock</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 payments from issuance of Series A redeemable convertible preferred stock</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Proceeds from borrowings</w:t>
            </w:r>
          </w:p>
        </w:tc>
        <w:tc>
          <w:tcPr>
            <w:tcW w:w="2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335,000</w:t>
            </w: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borrowings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(297,903)</w:t>
            </w: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Call premium paid for debt extinguishment</w:t>
            </w:r>
          </w:p>
        </w:tc>
        <w:tc>
          <w:tcPr>
            <w:tcW w:w="2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(5,910)</w:t>
            </w: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issuance cost payments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w:t>
            </w: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Principal payments under finance lease obligations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(231)</w:t>
            </w: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received on advancement to NVX Holdings, Inc.</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3,395</w:t>
            </w: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provided by financing activities</w:t>
            </w: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41,540</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32,743</w:t>
            </w: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Increase (decrease) in cash and cash equivalents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131,042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(59,013)</w:t>
            </w:r>
          </w:p>
        </w:tc>
      </w:tr>
      <w:tr>
        <w:trPr>
          <w:trHeight w:val="16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84,361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144,234</w:t>
            </w:r>
          </w:p>
        </w:tc>
      </w:tr>
      <w:tr>
        <w:trPr>
          <w:trHeight w:val="175"/>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215,403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85,221</w:t>
            </w:r>
          </w:p>
        </w:tc>
      </w:tr>
      <w:tr>
        <w:trPr>
          <w:trHeight w:val="20"/>
        </w:trPr>
        <w:tc>
          <w:tcPr>
            <w:tcW w:w="8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3"/>
        </w:trPr>
        <w:tc>
          <w:tcPr>
            <w:tcW w:w="894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70"/>
        </w:trPr>
        <w:tc>
          <w:tcPr>
            <w:tcW w:w="8940" w:type="dxa"/>
            <w:vAlign w:val="bottom"/>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property, equipment and software included in accounts payable</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2,734</w:t>
            </w:r>
          </w:p>
        </w:tc>
      </w:tr>
    </w:tbl>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9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tables set forth operating segment results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224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 Sep. 30, 2022</w:t>
            </w:r>
          </w:p>
        </w:tc>
        <w:tc>
          <w:tcPr>
            <w:tcW w:w="2220" w:type="dxa"/>
            <w:vAlign w:val="bottom"/>
            <w:gridSpan w:val="5"/>
          </w:tcPr>
          <w:p>
            <w:pPr>
              <w:ind w:left="20"/>
              <w:spacing w:after="0"/>
              <w:rPr>
                <w:sz w:val="20"/>
                <w:szCs w:val="20"/>
                <w:color w:val="auto"/>
              </w:rPr>
            </w:pPr>
            <w:r>
              <w:rPr>
                <w:rFonts w:ascii="Arial" w:cs="Arial" w:eastAsia="Arial" w:hAnsi="Arial"/>
                <w:sz w:val="13"/>
                <w:szCs w:val="13"/>
                <w:b w:val="1"/>
                <w:bCs w:val="1"/>
                <w:color w:val="auto"/>
              </w:rPr>
              <w:t>Three months ended Sep. 30, 2021</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27"/>
        </w:trPr>
        <w:tc>
          <w:tcPr>
            <w:tcW w:w="46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9"/>
              </w:rPr>
              <w:t>% of Net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7"/>
        </w:trPr>
        <w:tc>
          <w:tcPr>
            <w:tcW w:w="4660" w:type="dxa"/>
            <w:vAlign w:val="bottom"/>
          </w:tcPr>
          <w:p>
            <w:pPr>
              <w:ind w:left="20"/>
              <w:spacing w:after="0"/>
              <w:rPr>
                <w:sz w:val="20"/>
                <w:szCs w:val="20"/>
                <w:color w:val="auto"/>
              </w:rPr>
            </w:pPr>
            <w:r>
              <w:rPr>
                <w:rFonts w:ascii="Arial" w:cs="Arial" w:eastAsia="Arial" w:hAnsi="Arial"/>
                <w:sz w:val="13"/>
                <w:szCs w:val="13"/>
                <w:color w:val="auto"/>
              </w:rPr>
              <w:t>(in thousands, except percentages)</w:t>
            </w: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 Change</w:t>
            </w: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 Change</w:t>
            </w:r>
          </w:p>
        </w:tc>
      </w:tr>
      <w:tr>
        <w:trPr>
          <w:trHeight w:val="16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79,266</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59.6 %</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158,605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75.0 %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(79,339)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(50.0)%</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49,793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46,237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7.7 %</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3,459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5,742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(2,283)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(39.8)%</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w:t>
            </w: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133,052</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211,734</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(78,682)</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w:t>
            </w: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 (loss):</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2,609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(4,126)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6,735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(163.2)%</w:t>
            </w: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(218.0)%</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496</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2,186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(1,690)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(77.3)%</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74.5 %</w:t>
            </w: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 (loss)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732</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(181.2)%</w:t>
            </w:r>
          </w:p>
        </w:tc>
      </w:tr>
      <w:tr>
        <w:trPr>
          <w:trHeight w:val="175"/>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25,806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23,726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8.8 %</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23,514</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17.7 %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impairment charges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Restructuring and other related charges</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9,797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9,797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125.8 %</w:t>
            </w:r>
          </w:p>
        </w:tc>
      </w:tr>
      <w:tr>
        <w:trPr>
          <w:trHeight w:val="169"/>
        </w:trPr>
        <w:tc>
          <w:tcPr>
            <w:tcW w:w="4660" w:type="dxa"/>
            <w:vAlign w:val="bottom"/>
          </w:tcPr>
          <w:p>
            <w:pPr>
              <w:ind w:left="240"/>
              <w:spacing w:after="0"/>
              <w:rPr>
                <w:sz w:val="20"/>
                <w:szCs w:val="20"/>
                <w:color w:val="auto"/>
              </w:rPr>
            </w:pPr>
            <w:r>
              <w:rPr>
                <w:rFonts w:ascii="Arial" w:cs="Arial" w:eastAsia="Arial" w:hAnsi="Arial"/>
                <w:sz w:val="13"/>
                <w:szCs w:val="13"/>
                <w:color w:val="auto"/>
              </w:rPr>
              <w:t>Other (income) expense</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283.3 %</w:t>
            </w:r>
          </w:p>
        </w:tc>
      </w:tr>
      <w:tr>
        <w:trPr>
          <w:trHeight w:val="20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(74,654)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(55,597)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(19,057)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34.3 %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2220" w:type="dxa"/>
            <w:vAlign w:val="bottom"/>
            <w:gridSpan w:val="5"/>
          </w:tcPr>
          <w:p>
            <w:pPr>
              <w:ind w:left="60"/>
              <w:spacing w:after="0"/>
              <w:rPr>
                <w:sz w:val="20"/>
                <w:szCs w:val="20"/>
                <w:color w:val="auto"/>
              </w:rPr>
            </w:pPr>
            <w:r>
              <w:rPr>
                <w:rFonts w:ascii="Arial" w:cs="Arial" w:eastAsia="Arial" w:hAnsi="Arial"/>
                <w:sz w:val="13"/>
                <w:szCs w:val="13"/>
                <w:b w:val="1"/>
                <w:bCs w:val="1"/>
                <w:color w:val="auto"/>
              </w:rPr>
              <w:t>Nine months ended Sep. 30, 2022</w:t>
            </w:r>
          </w:p>
        </w:tc>
        <w:tc>
          <w:tcPr>
            <w:tcW w:w="2220" w:type="dxa"/>
            <w:vAlign w:val="bottom"/>
            <w:gridSpan w:val="5"/>
          </w:tcPr>
          <w:p>
            <w:pPr>
              <w:ind w:left="60"/>
              <w:spacing w:after="0"/>
              <w:rPr>
                <w:sz w:val="20"/>
                <w:szCs w:val="20"/>
                <w:color w:val="auto"/>
              </w:rPr>
            </w:pPr>
            <w:r>
              <w:rPr>
                <w:rFonts w:ascii="Arial" w:cs="Arial" w:eastAsia="Arial" w:hAnsi="Arial"/>
                <w:sz w:val="13"/>
                <w:szCs w:val="13"/>
                <w:b w:val="1"/>
                <w:bCs w:val="1"/>
                <w:color w:val="auto"/>
              </w:rPr>
              <w:t>Nine months ended Sep. 30, 2021</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22"/>
        </w:trPr>
        <w:tc>
          <w:tcPr>
            <w:tcW w:w="46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9"/>
              </w:rPr>
              <w:t>% of Net</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6"/>
              </w:rPr>
              <w:t>% of Net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3"/>
                <w:szCs w:val="13"/>
                <w:color w:val="auto"/>
              </w:rPr>
              <w:t>(in thousands, except percentages)</w:t>
            </w: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8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 Change</w:t>
            </w: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 Change</w:t>
            </w:r>
          </w:p>
        </w:tc>
      </w:tr>
      <w:tr>
        <w:trPr>
          <w:trHeight w:val="16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386,796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68.8 %</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476,391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77.7 %</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(89,595)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(18.8)%</w:t>
            </w: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161,382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117,116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44,266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37.8 %</w:t>
            </w: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11,904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13,505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(1,601)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(11.9)%</w:t>
            </w: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2,217</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5,803</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(3,586)</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w:t>
            </w: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562,299</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612,815</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(50,516)</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 (loss):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26,408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73,574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12.0 %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(47,166)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(64.1)%</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(15,629)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3350.1 %</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2,668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0.5 %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0.1 %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306.1 %</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448.5 %</w:t>
            </w: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 (loss)</w:t>
            </w: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12,202</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2.2 %</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73,551</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12.0 %</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(61,349)</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(83.4)%</w:t>
            </w:r>
          </w:p>
        </w:tc>
      </w:tr>
      <w:tr>
        <w:trPr>
          <w:trHeight w:val="176"/>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89,930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68,239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21,691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31.8 %</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70,543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12.5 %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70,543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11.5 %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impairment charges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25,345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24,283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Restructuring and other related charges</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11,872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11,872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39,752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23,886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15,866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66.4 %</w:t>
            </w:r>
          </w:p>
        </w:tc>
      </w:tr>
      <w:tr>
        <w:trPr>
          <w:trHeight w:val="177"/>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(income)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(340.7)%</w:t>
            </w:r>
          </w:p>
        </w:tc>
      </w:tr>
      <w:tr>
        <w:trPr>
          <w:trHeight w:val="175"/>
        </w:trPr>
        <w:tc>
          <w:tcPr>
            <w:tcW w:w="4660" w:type="dxa"/>
            <w:vAlign w:val="bottom"/>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(225,175)</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(102,141)</w:t>
            </w:r>
          </w:p>
        </w:tc>
        <w:tc>
          <w:tcPr>
            <w:tcW w:w="1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(123,034)</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120.5 %</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789" w:right="339" w:bottom="1440" w:gutter="0" w:footer="0" w:header="0"/>
        </w:sectPr>
      </w:pPr>
    </w:p>
    <w:bookmarkStart w:id="13" w:name="page14"/>
    <w:bookmarkEnd w:id="13"/>
    <w:p>
      <w:pPr>
        <w:ind w:right="260"/>
        <w:spacing w:after="0" w:line="260"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and nine months ended September 30, 2022 and 2021, for those submissions that are commissionable (compensated through commissions received from carriers):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40" w:type="dxa"/>
            <w:vAlign w:val="bottom"/>
          </w:tcPr>
          <w:p>
            <w:pPr>
              <w:spacing w:after="0"/>
              <w:rPr>
                <w:sz w:val="15"/>
                <w:szCs w:val="15"/>
                <w:color w:val="auto"/>
              </w:rPr>
            </w:pPr>
          </w:p>
        </w:tc>
        <w:tc>
          <w:tcPr>
            <w:tcW w:w="2400" w:type="dxa"/>
            <w:vAlign w:val="bottom"/>
            <w:gridSpan w:val="4"/>
          </w:tcPr>
          <w:p>
            <w:pPr>
              <w:ind w:left="280"/>
              <w:spacing w:after="0"/>
              <w:rPr>
                <w:sz w:val="20"/>
                <w:szCs w:val="20"/>
                <w:color w:val="auto"/>
              </w:rPr>
            </w:pPr>
            <w:r>
              <w:rPr>
                <w:rFonts w:ascii="Arial" w:cs="Arial" w:eastAsia="Arial" w:hAnsi="Arial"/>
                <w:sz w:val="13"/>
                <w:szCs w:val="13"/>
                <w:b w:val="1"/>
                <w:bCs w:val="1"/>
                <w:color w:val="auto"/>
              </w:rPr>
              <w:t>Three months ended Sep. 30,</w:t>
            </w:r>
          </w:p>
        </w:tc>
        <w:tc>
          <w:tcPr>
            <w:tcW w:w="230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auto"/>
              </w:rPr>
              <w:t>Nine months ended Sep. 30,</w:t>
            </w:r>
          </w:p>
        </w:tc>
      </w:tr>
      <w:tr>
        <w:trPr>
          <w:trHeight w:val="19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Medicare - Total Commissionable Submitted Policies</w:t>
            </w:r>
          </w:p>
        </w:tc>
        <w:tc>
          <w:tcPr>
            <w:tcW w:w="11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123,523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195,414</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577,139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521,451</w:t>
            </w: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113</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751</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809</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2,877</w:t>
            </w: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4,025</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2,740</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15,485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7,707</w:t>
            </w:r>
          </w:p>
        </w:tc>
      </w:tr>
      <w:tr>
        <w:trPr>
          <w:trHeight w:val="176"/>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127,661</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198,905</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593,433</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532,035</w:t>
            </w:r>
          </w:p>
        </w:tc>
      </w:tr>
      <w:tr>
        <w:trPr>
          <w:trHeight w:val="20"/>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The following tables present the number of Approved Submissions by product relating to commissionable policies for the Medicare segments for three and nine months ended September 30, 2022 and 2021. Only commissionable policies are used to calculate LTV.</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40" w:type="dxa"/>
            <w:vAlign w:val="bottom"/>
          </w:tcPr>
          <w:p>
            <w:pPr>
              <w:spacing w:after="0"/>
              <w:rPr>
                <w:sz w:val="15"/>
                <w:szCs w:val="15"/>
                <w:color w:val="auto"/>
              </w:rPr>
            </w:pPr>
          </w:p>
        </w:tc>
        <w:tc>
          <w:tcPr>
            <w:tcW w:w="2400" w:type="dxa"/>
            <w:vAlign w:val="bottom"/>
            <w:gridSpan w:val="4"/>
          </w:tcPr>
          <w:p>
            <w:pPr>
              <w:ind w:left="280"/>
              <w:spacing w:after="0"/>
              <w:rPr>
                <w:sz w:val="20"/>
                <w:szCs w:val="20"/>
                <w:color w:val="auto"/>
              </w:rPr>
            </w:pPr>
            <w:r>
              <w:rPr>
                <w:rFonts w:ascii="Arial" w:cs="Arial" w:eastAsia="Arial" w:hAnsi="Arial"/>
                <w:sz w:val="13"/>
                <w:szCs w:val="13"/>
                <w:b w:val="1"/>
                <w:bCs w:val="1"/>
                <w:color w:val="auto"/>
              </w:rPr>
              <w:t>Three months ended Sep. 30,</w:t>
            </w:r>
          </w:p>
        </w:tc>
        <w:tc>
          <w:tcPr>
            <w:tcW w:w="230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auto"/>
              </w:rPr>
              <w:t>Nine months ended Sep. 30,</w:t>
            </w:r>
          </w:p>
        </w:tc>
      </w:tr>
      <w:tr>
        <w:trPr>
          <w:trHeight w:val="19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Medicare - Internal Commissionable Approved Submissions</w:t>
            </w:r>
          </w:p>
        </w:tc>
        <w:tc>
          <w:tcPr>
            <w:tcW w:w="11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51,848</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145,619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334,361</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395,804</w:t>
            </w: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702</w:t>
            </w: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2,208</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6,096</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6,525</w:t>
            </w:r>
          </w:p>
        </w:tc>
      </w:tr>
      <w:tr>
        <w:trPr>
          <w:trHeight w:val="176"/>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53,102</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148,010</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340,706</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403,031</w:t>
            </w:r>
          </w:p>
        </w:tc>
      </w:tr>
      <w:tr>
        <w:trPr>
          <w:trHeight w:val="20"/>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2"/>
        </w:trPr>
        <w:tc>
          <w:tcPr>
            <w:tcW w:w="6540" w:type="dxa"/>
            <w:vAlign w:val="bottom"/>
          </w:tcPr>
          <w:p>
            <w:pPr>
              <w:spacing w:after="0"/>
              <w:rPr>
                <w:sz w:val="24"/>
                <w:szCs w:val="24"/>
                <w:color w:val="auto"/>
              </w:rPr>
            </w:pPr>
          </w:p>
        </w:tc>
        <w:tc>
          <w:tcPr>
            <w:tcW w:w="2400" w:type="dxa"/>
            <w:vAlign w:val="bottom"/>
            <w:gridSpan w:val="4"/>
          </w:tcPr>
          <w:p>
            <w:pPr>
              <w:ind w:left="280"/>
              <w:spacing w:after="0"/>
              <w:rPr>
                <w:sz w:val="20"/>
                <w:szCs w:val="20"/>
                <w:color w:val="auto"/>
              </w:rPr>
            </w:pPr>
            <w:r>
              <w:rPr>
                <w:rFonts w:ascii="Arial" w:cs="Arial" w:eastAsia="Arial" w:hAnsi="Arial"/>
                <w:sz w:val="13"/>
                <w:szCs w:val="13"/>
                <w:b w:val="1"/>
                <w:bCs w:val="1"/>
                <w:color w:val="auto"/>
              </w:rPr>
              <w:t>Three months ended Sep. 30,</w:t>
            </w:r>
          </w:p>
        </w:tc>
        <w:tc>
          <w:tcPr>
            <w:tcW w:w="230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auto"/>
              </w:rPr>
              <w:t>Nine months ended Sep. 30,</w:t>
            </w:r>
          </w:p>
        </w:tc>
      </w:tr>
      <w:tr>
        <w:trPr>
          <w:trHeight w:val="20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Medicare - External Commissionable Approved Submissions</w:t>
            </w:r>
          </w:p>
        </w:tc>
        <w:tc>
          <w:tcPr>
            <w:tcW w:w="11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62,928</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47,488</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218,371</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121,179</w:t>
            </w: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427</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1,823</w:t>
            </w: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2,761</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8,874</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w:t>
            </w: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65,703</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48,106</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227,524</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123,718</w:t>
            </w:r>
          </w:p>
        </w:tc>
      </w:tr>
      <w:tr>
        <w:trPr>
          <w:trHeight w:val="21"/>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table presents the LTV per Approved Submission by product for the Medicare segments for the three and nine months ended September 30, 2022 and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60" w:type="dxa"/>
            <w:vAlign w:val="bottom"/>
          </w:tcPr>
          <w:p>
            <w:pPr>
              <w:spacing w:after="0"/>
              <w:rPr>
                <w:sz w:val="15"/>
                <w:szCs w:val="15"/>
                <w:color w:val="auto"/>
              </w:rPr>
            </w:pPr>
          </w:p>
        </w:tc>
        <w:tc>
          <w:tcPr>
            <w:tcW w:w="238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Sep. 30,</w:t>
            </w:r>
          </w:p>
        </w:tc>
        <w:tc>
          <w:tcPr>
            <w:tcW w:w="200" w:type="dxa"/>
            <w:vAlign w:val="bottom"/>
          </w:tcPr>
          <w:p>
            <w:pPr>
              <w:spacing w:after="0"/>
              <w:rPr>
                <w:sz w:val="15"/>
                <w:szCs w:val="15"/>
                <w:color w:val="auto"/>
              </w:rPr>
            </w:pPr>
          </w:p>
        </w:tc>
        <w:tc>
          <w:tcPr>
            <w:tcW w:w="210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auto"/>
              </w:rPr>
              <w:t>Nine months ended Sep. 30,</w:t>
            </w:r>
          </w:p>
        </w:tc>
      </w:tr>
      <w:tr>
        <w:trPr>
          <w:trHeight w:val="20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LTV per Approved Submission</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r>
      <w:tr>
        <w:trPr>
          <w:trHeight w:val="172"/>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720" w:type="dxa"/>
            <w:vAlign w:val="bottom"/>
            <w:shd w:val="clear" w:color="auto" w:fill="CCEEFF"/>
          </w:tcPr>
          <w:p>
            <w:pPr>
              <w:jc w:val="right"/>
              <w:ind w:right="577"/>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771</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754</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874</w:t>
            </w:r>
          </w:p>
        </w:tc>
      </w:tr>
      <w:tr>
        <w:trPr>
          <w:trHeight w:val="168"/>
        </w:trPr>
        <w:tc>
          <w:tcPr>
            <w:tcW w:w="656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720" w:type="dxa"/>
            <w:vAlign w:val="bottom"/>
          </w:tcPr>
          <w:p>
            <w:pPr>
              <w:jc w:val="right"/>
              <w:ind w:right="577"/>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733</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874</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826</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834</w:t>
            </w:r>
          </w:p>
        </w:tc>
      </w:tr>
      <w:tr>
        <w:trPr>
          <w:trHeight w:val="184"/>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720" w:type="dxa"/>
            <w:vAlign w:val="bottom"/>
            <w:shd w:val="clear" w:color="auto" w:fill="CCEEFF"/>
          </w:tcPr>
          <w:p>
            <w:pPr>
              <w:jc w:val="right"/>
              <w:ind w:right="577"/>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202</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r>
    </w:tbl>
    <w:p>
      <w:pPr>
        <w:spacing w:after="0" w:line="204"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and nine months ended September 30, 2022 and 2021, for those submissions that are non-commissionable (compensated via hourly fees and enrollment fees) and do not result in commission revenue: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60" w:type="dxa"/>
            <w:vAlign w:val="bottom"/>
          </w:tcPr>
          <w:p>
            <w:pPr>
              <w:spacing w:after="0"/>
              <w:rPr>
                <w:sz w:val="15"/>
                <w:szCs w:val="15"/>
                <w:color w:val="auto"/>
              </w:rPr>
            </w:pPr>
          </w:p>
        </w:tc>
        <w:tc>
          <w:tcPr>
            <w:tcW w:w="2380" w:type="dxa"/>
            <w:vAlign w:val="bottom"/>
            <w:gridSpan w:val="4"/>
          </w:tcPr>
          <w:p>
            <w:pPr>
              <w:ind w:left="260"/>
              <w:spacing w:after="0"/>
              <w:rPr>
                <w:sz w:val="20"/>
                <w:szCs w:val="20"/>
                <w:color w:val="auto"/>
              </w:rPr>
            </w:pPr>
            <w:r>
              <w:rPr>
                <w:rFonts w:ascii="Arial" w:cs="Arial" w:eastAsia="Arial" w:hAnsi="Arial"/>
                <w:sz w:val="13"/>
                <w:szCs w:val="13"/>
                <w:b w:val="1"/>
                <w:bCs w:val="1"/>
                <w:color w:val="auto"/>
              </w:rPr>
              <w:t>Three months ended Sep. 30,</w:t>
            </w:r>
          </w:p>
        </w:tc>
        <w:tc>
          <w:tcPr>
            <w:tcW w:w="2300" w:type="dxa"/>
            <w:vAlign w:val="bottom"/>
            <w:gridSpan w:val="3"/>
          </w:tcPr>
          <w:p>
            <w:pPr>
              <w:jc w:val="right"/>
              <w:ind w:right="254"/>
              <w:spacing w:after="0"/>
              <w:rPr>
                <w:sz w:val="20"/>
                <w:szCs w:val="20"/>
                <w:color w:val="auto"/>
              </w:rPr>
            </w:pPr>
            <w:r>
              <w:rPr>
                <w:rFonts w:ascii="Arial" w:cs="Arial" w:eastAsia="Arial" w:hAnsi="Arial"/>
                <w:sz w:val="13"/>
                <w:szCs w:val="13"/>
                <w:b w:val="1"/>
                <w:bCs w:val="1"/>
                <w:color w:val="auto"/>
              </w:rPr>
              <w:t>Nine months ended Sep. 30,</w:t>
            </w:r>
          </w:p>
        </w:tc>
      </w:tr>
      <w:tr>
        <w:trPr>
          <w:trHeight w:val="20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Medicare - Total Non-Commissionable Submitted Policies</w:t>
            </w:r>
          </w:p>
        </w:tc>
        <w:tc>
          <w:tcPr>
            <w:tcW w:w="10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2021</w:t>
            </w:r>
          </w:p>
        </w:tc>
      </w:tr>
      <w:tr>
        <w:trPr>
          <w:trHeight w:val="172"/>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2,631</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9,868</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10,703</w:t>
            </w:r>
          </w:p>
        </w:tc>
      </w:tr>
      <w:tr>
        <w:trPr>
          <w:trHeight w:val="167"/>
        </w:trPr>
        <w:tc>
          <w:tcPr>
            <w:tcW w:w="656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080" w:type="dxa"/>
            <w:vAlign w:val="bottom"/>
          </w:tcPr>
          <w:p>
            <w:pPr>
              <w:jc w:val="right"/>
              <w:spacing w:after="0"/>
              <w:rPr>
                <w:sz w:val="20"/>
                <w:szCs w:val="20"/>
                <w:color w:val="auto"/>
              </w:rPr>
            </w:pPr>
            <w:r>
              <w:rPr>
                <w:rFonts w:ascii="Arial" w:cs="Arial" w:eastAsia="Arial" w:hAnsi="Arial"/>
                <w:sz w:val="13"/>
                <w:szCs w:val="13"/>
                <w:color w:val="auto"/>
              </w:rPr>
              <w:t>1,805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5,790</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5,019</w:t>
            </w:r>
          </w:p>
        </w:tc>
      </w:tr>
      <w:tr>
        <w:trPr>
          <w:trHeight w:val="177"/>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2,294</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2,218</w:t>
            </w:r>
          </w:p>
        </w:tc>
      </w:tr>
      <w:tr>
        <w:trPr>
          <w:trHeight w:val="175"/>
        </w:trPr>
        <w:tc>
          <w:tcPr>
            <w:tcW w:w="656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5,170</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3,401</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17,952</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17,940</w:t>
            </w:r>
          </w:p>
        </w:tc>
      </w:tr>
      <w:tr>
        <w:trPr>
          <w:trHeight w:val="20"/>
        </w:trPr>
        <w:tc>
          <w:tcPr>
            <w:tcW w:w="6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30"/>
        </w:trPr>
        <w:tc>
          <w:tcPr>
            <w:tcW w:w="6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1" w:lineRule="exact"/>
        <w:rPr>
          <w:sz w:val="20"/>
          <w:szCs w:val="20"/>
          <w:color w:val="auto"/>
        </w:rPr>
      </w:pPr>
    </w:p>
    <w:sectPr>
      <w:pgSz w:w="11900" w:h="16838" w:orient="portrait"/>
      <w:cols w:equalWidth="0" w:num="1">
        <w:col w:w="11240"/>
      </w:cols>
      <w:pgMar w:left="320" w:top="8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2022-11-10T16:21:56Z</dcterms:created>
  <dcterms:modified xsi:type="dcterms:W3CDTF">2022-11-10T16:21:56Z</dcterms:modified>
</cp:coreProperties>
</file>