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80"/>
        <w:spacing w:after="0"/>
        <w:rPr>
          <w:sz w:val="20"/>
          <w:szCs w:val="20"/>
          <w:color w:val="auto"/>
        </w:rPr>
      </w:pPr>
      <w:r>
        <w:rPr>
          <w:rFonts w:ascii="Arial" w:cs="Arial" w:eastAsia="Arial" w:hAnsi="Arial"/>
          <w:sz w:val="18"/>
          <w:szCs w:val="18"/>
          <w:b w:val="1"/>
          <w:bCs w:val="1"/>
          <w:color w:val="auto"/>
        </w:rPr>
        <w:t>As filed with the Securities and Exchange Commission on July 15, 2020</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ind w:right="30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0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0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00"/>
        <w:spacing w:after="0"/>
        <w:rPr>
          <w:sz w:val="20"/>
          <w:szCs w:val="20"/>
          <w:color w:val="auto"/>
        </w:rPr>
      </w:pPr>
      <w:r>
        <w:rPr>
          <w:rFonts w:ascii="Arial" w:cs="Arial" w:eastAsia="Arial" w:hAnsi="Arial"/>
          <w:sz w:val="32"/>
          <w:szCs w:val="32"/>
          <w:b w:val="1"/>
          <w:bCs w:val="1"/>
          <w:color w:val="auto"/>
        </w:rPr>
        <w:t>REGISTRATION STATEMENT UNDER</w:t>
      </w:r>
    </w:p>
    <w:p>
      <w:pPr>
        <w:jc w:val="center"/>
        <w:ind w:right="30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00"/>
        <w:spacing w:after="0"/>
        <w:rPr>
          <w:sz w:val="20"/>
          <w:szCs w:val="20"/>
          <w:color w:val="auto"/>
        </w:rPr>
      </w:pPr>
      <w:r>
        <w:rPr>
          <w:rFonts w:ascii="Arial" w:cs="Arial" w:eastAsia="Arial" w:hAnsi="Arial"/>
          <w:sz w:val="43"/>
          <w:szCs w:val="43"/>
          <w:b w:val="1"/>
          <w:bCs w:val="1"/>
          <w:color w:val="auto"/>
        </w:rPr>
        <w:t>GoHealth, Inc.</w:t>
      </w:r>
    </w:p>
    <w:p>
      <w:pPr>
        <w:spacing w:after="0" w:line="50"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9300"/>
          </w:cols>
          <w:pgMar w:left="1440" w:top="229" w:right="11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31" w:lineRule="exact"/>
        <w:rPr>
          <w:sz w:val="24"/>
          <w:szCs w:val="24"/>
          <w:color w:val="auto"/>
        </w:rPr>
      </w:pPr>
    </w:p>
    <w:p>
      <w:pPr>
        <w:sectPr>
          <w:pgSz w:w="11900" w:h="16838" w:orient="portrait"/>
          <w:cols w:equalWidth="0" w:num="2">
            <w:col w:w="6180" w:space="720"/>
            <w:col w:w="2400"/>
          </w:cols>
          <w:pgMar w:left="1440" w:top="229" w:right="1159" w:bottom="1440" w:gutter="0" w:footer="0" w:header="0"/>
          <w:type w:val="continuous"/>
        </w:sectPr>
      </w:pPr>
    </w:p>
    <w:p>
      <w:pPr>
        <w:spacing w:after="0" w:line="11" w:lineRule="exact"/>
        <w:rPr>
          <w:sz w:val="24"/>
          <w:szCs w:val="24"/>
          <w:color w:val="auto"/>
        </w:rPr>
      </w:pPr>
    </w:p>
    <w:p>
      <w:pPr>
        <w:ind w:left="880"/>
        <w:spacing w:after="0"/>
        <w:rPr>
          <w:sz w:val="20"/>
          <w:szCs w:val="20"/>
          <w:color w:val="auto"/>
        </w:rPr>
      </w:pPr>
      <w:r>
        <w:rPr>
          <w:rFonts w:ascii="Arial" w:cs="Arial" w:eastAsia="Arial" w:hAnsi="Arial"/>
          <w:sz w:val="13"/>
          <w:szCs w:val="13"/>
          <w:b w:val="1"/>
          <w:bCs w:val="1"/>
          <w:color w:val="auto"/>
        </w:rPr>
        <w:t>(State or other jurisdiction of</w:t>
      </w:r>
    </w:p>
    <w:p>
      <w:pPr>
        <w:ind w:left="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Arial" w:cs="Arial" w:eastAsia="Arial" w:hAnsi="Arial"/>
          <w:sz w:val="14"/>
          <w:szCs w:val="14"/>
          <w:b w:val="1"/>
          <w:bCs w:val="1"/>
          <w:color w:val="auto"/>
        </w:rPr>
        <w:t>(IRS Employer</w:t>
      </w:r>
    </w:p>
    <w:p>
      <w:pPr>
        <w:jc w:val="center"/>
        <w:ind w:right="140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6060" w:space="720"/>
            <w:col w:w="2520"/>
          </w:cols>
          <w:pgMar w:left="1440" w:top="229" w:right="1159" w:bottom="1440" w:gutter="0" w:footer="0" w:header="0"/>
          <w:type w:val="continuous"/>
        </w:sectPr>
      </w:pPr>
    </w:p>
    <w:p>
      <w:pPr>
        <w:spacing w:after="0" w:line="17" w:lineRule="exact"/>
        <w:rPr>
          <w:sz w:val="24"/>
          <w:szCs w:val="24"/>
          <w:color w:val="auto"/>
        </w:rPr>
      </w:pPr>
    </w:p>
    <w:p>
      <w:pPr>
        <w:jc w:val="center"/>
        <w:ind w:right="300"/>
        <w:spacing w:after="0"/>
        <w:rPr>
          <w:sz w:val="20"/>
          <w:szCs w:val="20"/>
          <w:color w:val="auto"/>
        </w:rPr>
      </w:pPr>
      <w:r>
        <w:rPr>
          <w:rFonts w:ascii="Arial" w:cs="Arial" w:eastAsia="Arial" w:hAnsi="Arial"/>
          <w:sz w:val="16"/>
          <w:szCs w:val="16"/>
          <w:b w:val="1"/>
          <w:bCs w:val="1"/>
          <w:color w:val="auto"/>
        </w:rPr>
        <w:t>214 West Huron St., Chicago, Illinois 60654</w:t>
      </w:r>
    </w:p>
    <w:p>
      <w:pPr>
        <w:sectPr>
          <w:pgSz w:w="11900" w:h="16838" w:orient="portrait"/>
          <w:cols w:equalWidth="0" w:num="1">
            <w:col w:w="9300"/>
          </w:cols>
          <w:pgMar w:left="1440" w:top="229" w:right="1159" w:bottom="1440" w:gutter="0" w:footer="0" w:header="0"/>
          <w:type w:val="continuous"/>
        </w:sectPr>
      </w:pPr>
    </w:p>
    <w:p>
      <w:pPr>
        <w:spacing w:after="0" w:line="50" w:lineRule="exact"/>
        <w:rPr>
          <w:sz w:val="24"/>
          <w:szCs w:val="24"/>
          <w:color w:val="auto"/>
        </w:rPr>
      </w:pPr>
    </w:p>
    <w:p>
      <w:pPr>
        <w:ind w:left="2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5080" w:space="620"/>
            <w:col w:w="3600"/>
          </w:cols>
          <w:pgMar w:left="1440" w:top="229" w:right="1159" w:bottom="1440" w:gutter="0" w:footer="0" w:header="0"/>
          <w:type w:val="continuous"/>
        </w:sectPr>
      </w:pPr>
    </w:p>
    <w:p>
      <w:pPr>
        <w:jc w:val="center"/>
        <w:ind w:right="280"/>
        <w:spacing w:after="0"/>
        <w:rPr>
          <w:sz w:val="20"/>
          <w:szCs w:val="20"/>
          <w:color w:val="auto"/>
        </w:rPr>
      </w:pPr>
      <w:r>
        <w:rPr>
          <w:rFonts w:ascii="Arial" w:cs="Arial" w:eastAsia="Arial" w:hAnsi="Arial"/>
          <w:sz w:val="18"/>
          <w:szCs w:val="18"/>
          <w:b w:val="1"/>
          <w:bCs w:val="1"/>
          <w:color w:val="auto"/>
        </w:rPr>
        <w:t>GOHEALTH, INC. 2020 INCENTIVE AWARD PLAN</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7"/>
          <w:szCs w:val="17"/>
          <w:b w:val="1"/>
          <w:bCs w:val="1"/>
          <w:color w:val="auto"/>
        </w:rPr>
        <w:t>GOHEALTH, INC. 2020 EMPLOYEE STOCK PURCHASE PLAN</w:t>
      </w:r>
    </w:p>
    <w:p>
      <w:pPr>
        <w:spacing w:after="0" w:line="14" w:lineRule="exact"/>
        <w:rPr>
          <w:sz w:val="24"/>
          <w:szCs w:val="24"/>
          <w:color w:val="auto"/>
        </w:rPr>
      </w:pPr>
    </w:p>
    <w:p>
      <w:pPr>
        <w:jc w:val="center"/>
        <w:ind w:right="280"/>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BRADLEY BURD, ESQ.</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GOHEALTH, INC.</w:t>
      </w:r>
    </w:p>
    <w:p>
      <w:pPr>
        <w:spacing w:after="0" w:line="9"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214 WEST HURON ST.</w:t>
      </w:r>
    </w:p>
    <w:p>
      <w:pPr>
        <w:spacing w:after="0" w:line="9"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CHICAGO, ILLINOIS 60654</w:t>
      </w:r>
    </w:p>
    <w:p>
      <w:pPr>
        <w:spacing w:after="0" w:line="2" w:lineRule="exact"/>
        <w:rPr>
          <w:sz w:val="24"/>
          <w:szCs w:val="24"/>
          <w:color w:val="auto"/>
        </w:rPr>
      </w:pPr>
    </w:p>
    <w:p>
      <w:pPr>
        <w:jc w:val="center"/>
        <w:ind w:right="28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(312) 386-8200</w:t>
      </w:r>
    </w:p>
    <w:p>
      <w:pPr>
        <w:spacing w:after="0" w:line="21" w:lineRule="exact"/>
        <w:rPr>
          <w:sz w:val="24"/>
          <w:szCs w:val="24"/>
          <w:color w:val="auto"/>
        </w:rPr>
      </w:pPr>
    </w:p>
    <w:p>
      <w:pPr>
        <w:jc w:val="center"/>
        <w:ind w:right="28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BRIAN FARLEY, ESQ.</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Chief Legal Officer and Corporate Secretary</w:t>
      </w:r>
    </w:p>
    <w:p>
      <w:pPr>
        <w:spacing w:after="0" w:line="9"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GoHealth, Inc.</w:t>
      </w:r>
    </w:p>
    <w:p>
      <w:pPr>
        <w:spacing w:after="0" w:line="9"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214 West Huron St.</w:t>
      </w:r>
    </w:p>
    <w:p>
      <w:pPr>
        <w:spacing w:after="0" w:line="9"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CHICAGO, Illinois 60654</w:t>
      </w:r>
    </w:p>
    <w:p>
      <w:pPr>
        <w:spacing w:after="0" w:line="207"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IAN D. SCHUMAN, ESQ.</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STELIOS G. SAFFOS, ESQ.</w:t>
      </w:r>
    </w:p>
    <w:p>
      <w:pPr>
        <w:spacing w:after="0" w:line="9"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RYAN K. DEFORD, ESQ.</w:t>
      </w:r>
    </w:p>
    <w:p>
      <w:pPr>
        <w:spacing w:after="0" w:line="9"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885 Third Avenue</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NEW YORK, New York 10022-4834</w:t>
      </w:r>
    </w:p>
    <w:p>
      <w:pPr>
        <w:spacing w:after="0" w:line="9"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(212) 906-1200</w:t>
      </w:r>
    </w:p>
    <w:p>
      <w:pPr>
        <w:sectPr>
          <w:pgSz w:w="11900" w:h="16838" w:orient="portrait"/>
          <w:cols w:equalWidth="0" w:num="1">
            <w:col w:w="9300"/>
          </w:cols>
          <w:pgMar w:left="1440" w:top="229" w:right="1159" w:bottom="1440" w:gutter="0" w:footer="0" w:header="0"/>
          <w:type w:val="continuous"/>
        </w:sectPr>
      </w:pPr>
    </w:p>
    <w:bookmarkStart w:id="1" w:name="page2"/>
    <w:bookmarkEnd w:id="1"/>
    <w:p>
      <w:pPr>
        <w:jc w:val="both"/>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252095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w:t>
      </w:r>
    </w:p>
    <w:p>
      <w:pPr>
        <w:spacing w:after="0" w:line="178"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040" w:type="dxa"/>
            <w:vAlign w:val="bottom"/>
          </w:tcPr>
          <w:p>
            <w:pPr>
              <w:ind w:left="26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140" w:type="dxa"/>
            <w:vAlign w:val="bottom"/>
            <w:tcBorders>
              <w:top w:val="single" w:sz="8" w:color="auto"/>
              <w:bottom w:val="single" w:sz="8" w:color="auto"/>
            </w:tcBorders>
          </w:tcPr>
          <w:p>
            <w:pPr>
              <w:spacing w:after="0"/>
              <w:rPr>
                <w:sz w:val="3"/>
                <w:szCs w:val="3"/>
                <w:color w:val="auto"/>
              </w:rPr>
            </w:pPr>
          </w:p>
        </w:tc>
        <w:tc>
          <w:tcPr>
            <w:tcW w:w="190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22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41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0" w:type="dxa"/>
            <w:vAlign w:val="bottom"/>
          </w:tcPr>
          <w:p>
            <w:pPr>
              <w:jc w:val="center"/>
              <w:ind w:right="261"/>
              <w:spacing w:after="0" w:line="120" w:lineRule="exact"/>
              <w:rPr>
                <w:sz w:val="20"/>
                <w:szCs w:val="20"/>
                <w:color w:val="auto"/>
              </w:rPr>
            </w:pPr>
            <w:r>
              <w:rPr>
                <w:rFonts w:ascii="Arial" w:cs="Arial" w:eastAsia="Arial" w:hAnsi="Arial"/>
                <w:sz w:val="13"/>
                <w:szCs w:val="13"/>
                <w:b w:val="1"/>
                <w:bCs w:val="1"/>
                <w:color w:val="auto"/>
                <w:w w:val="96"/>
              </w:rPr>
              <w:t>Proposed</w:t>
            </w:r>
          </w:p>
        </w:tc>
        <w:tc>
          <w:tcPr>
            <w:tcW w:w="1720" w:type="dxa"/>
            <w:vAlign w:val="bottom"/>
          </w:tcPr>
          <w:p>
            <w:pPr>
              <w:jc w:val="center"/>
              <w:ind w:right="261"/>
              <w:spacing w:after="0" w:line="120" w:lineRule="exact"/>
              <w:rPr>
                <w:sz w:val="20"/>
                <w:szCs w:val="20"/>
                <w:color w:val="auto"/>
              </w:rPr>
            </w:pPr>
            <w:r>
              <w:rPr>
                <w:rFonts w:ascii="Arial" w:cs="Arial" w:eastAsia="Arial" w:hAnsi="Arial"/>
                <w:sz w:val="13"/>
                <w:szCs w:val="13"/>
                <w:b w:val="1"/>
                <w:bCs w:val="1"/>
                <w:color w:val="auto"/>
                <w:w w:val="96"/>
              </w:rPr>
              <w:t>Proposed</w:t>
            </w:r>
          </w:p>
        </w:tc>
        <w:tc>
          <w:tcPr>
            <w:tcW w:w="12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140" w:type="dxa"/>
            <w:vAlign w:val="bottom"/>
            <w:vMerge w:val="restart"/>
          </w:tcPr>
          <w:p>
            <w:pPr>
              <w:jc w:val="center"/>
              <w:ind w:left="497"/>
              <w:spacing w:after="0"/>
              <w:rPr>
                <w:sz w:val="20"/>
                <w:szCs w:val="20"/>
                <w:color w:val="auto"/>
              </w:rPr>
            </w:pPr>
            <w:r>
              <w:rPr>
                <w:rFonts w:ascii="Arial" w:cs="Arial" w:eastAsia="Arial" w:hAnsi="Arial"/>
                <w:sz w:val="14"/>
                <w:szCs w:val="14"/>
                <w:b w:val="1"/>
                <w:bCs w:val="1"/>
                <w:color w:val="auto"/>
                <w:w w:val="90"/>
              </w:rPr>
              <w:t>Title of securities</w:t>
            </w:r>
          </w:p>
        </w:tc>
        <w:tc>
          <w:tcPr>
            <w:tcW w:w="1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 to be</w:t>
            </w:r>
          </w:p>
        </w:tc>
        <w:tc>
          <w:tcPr>
            <w:tcW w:w="440" w:type="dxa"/>
            <w:vAlign w:val="bottom"/>
          </w:tcPr>
          <w:p>
            <w:pPr>
              <w:spacing w:after="0"/>
              <w:rPr>
                <w:sz w:val="12"/>
                <w:szCs w:val="12"/>
                <w:color w:val="auto"/>
              </w:rPr>
            </w:pPr>
          </w:p>
        </w:tc>
        <w:tc>
          <w:tcPr>
            <w:tcW w:w="1600" w:type="dxa"/>
            <w:vAlign w:val="bottom"/>
          </w:tcPr>
          <w:p>
            <w:pPr>
              <w:jc w:val="center"/>
              <w:ind w:right="261"/>
              <w:spacing w:after="0" w:line="149" w:lineRule="exact"/>
              <w:rPr>
                <w:sz w:val="20"/>
                <w:szCs w:val="20"/>
                <w:color w:val="auto"/>
              </w:rPr>
            </w:pPr>
            <w:r>
              <w:rPr>
                <w:rFonts w:ascii="Arial" w:cs="Arial" w:eastAsia="Arial" w:hAnsi="Arial"/>
                <w:sz w:val="14"/>
                <w:szCs w:val="14"/>
                <w:b w:val="1"/>
                <w:bCs w:val="1"/>
                <w:color w:val="auto"/>
                <w:w w:val="94"/>
              </w:rPr>
              <w:t>maximum</w:t>
            </w:r>
          </w:p>
        </w:tc>
        <w:tc>
          <w:tcPr>
            <w:tcW w:w="1720" w:type="dxa"/>
            <w:vAlign w:val="bottom"/>
          </w:tcPr>
          <w:p>
            <w:pPr>
              <w:jc w:val="center"/>
              <w:ind w:right="261"/>
              <w:spacing w:after="0" w:line="149" w:lineRule="exact"/>
              <w:rPr>
                <w:sz w:val="20"/>
                <w:szCs w:val="20"/>
                <w:color w:val="auto"/>
              </w:rPr>
            </w:pPr>
            <w:r>
              <w:rPr>
                <w:rFonts w:ascii="Arial" w:cs="Arial" w:eastAsia="Arial" w:hAnsi="Arial"/>
                <w:sz w:val="14"/>
                <w:szCs w:val="14"/>
                <w:b w:val="1"/>
                <w:bCs w:val="1"/>
                <w:color w:val="auto"/>
                <w:w w:val="94"/>
              </w:rPr>
              <w:t>maximum</w:t>
            </w:r>
          </w:p>
        </w:tc>
        <w:tc>
          <w:tcPr>
            <w:tcW w:w="12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600" w:type="dxa"/>
            <w:vAlign w:val="bottom"/>
          </w:tcPr>
          <w:p>
            <w:pPr>
              <w:jc w:val="center"/>
              <w:ind w:right="261"/>
              <w:spacing w:after="0" w:line="149" w:lineRule="exact"/>
              <w:rPr>
                <w:sz w:val="20"/>
                <w:szCs w:val="20"/>
                <w:color w:val="auto"/>
              </w:rPr>
            </w:pPr>
            <w:r>
              <w:rPr>
                <w:rFonts w:ascii="Arial" w:cs="Arial" w:eastAsia="Arial" w:hAnsi="Arial"/>
                <w:sz w:val="14"/>
                <w:szCs w:val="14"/>
                <w:b w:val="1"/>
                <w:bCs w:val="1"/>
                <w:color w:val="auto"/>
                <w:w w:val="91"/>
              </w:rPr>
              <w:t>offering price</w:t>
            </w:r>
          </w:p>
        </w:tc>
        <w:tc>
          <w:tcPr>
            <w:tcW w:w="1720" w:type="dxa"/>
            <w:vAlign w:val="bottom"/>
          </w:tcPr>
          <w:p>
            <w:pPr>
              <w:jc w:val="center"/>
              <w:ind w:right="261"/>
              <w:spacing w:after="0" w:line="149" w:lineRule="exact"/>
              <w:rPr>
                <w:sz w:val="20"/>
                <w:szCs w:val="20"/>
                <w:color w:val="auto"/>
              </w:rPr>
            </w:pPr>
            <w:r>
              <w:rPr>
                <w:rFonts w:ascii="Arial" w:cs="Arial" w:eastAsia="Arial" w:hAnsi="Arial"/>
                <w:sz w:val="14"/>
                <w:szCs w:val="14"/>
                <w:b w:val="1"/>
                <w:bCs w:val="1"/>
                <w:color w:val="auto"/>
                <w:w w:val="86"/>
              </w:rPr>
              <w:t>aggregate</w:t>
            </w:r>
          </w:p>
        </w:tc>
        <w:tc>
          <w:tcPr>
            <w:tcW w:w="12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registration</w:t>
            </w:r>
          </w:p>
        </w:tc>
        <w:tc>
          <w:tcPr>
            <w:tcW w:w="0" w:type="dxa"/>
            <w:vAlign w:val="bottom"/>
          </w:tcPr>
          <w:p>
            <w:pPr>
              <w:spacing w:after="0"/>
              <w:rPr>
                <w:sz w:val="1"/>
                <w:szCs w:val="1"/>
                <w:color w:val="auto"/>
              </w:rPr>
            </w:pPr>
          </w:p>
        </w:tc>
      </w:tr>
      <w:tr>
        <w:trPr>
          <w:trHeight w:val="185"/>
        </w:trPr>
        <w:tc>
          <w:tcPr>
            <w:tcW w:w="4140" w:type="dxa"/>
            <w:vAlign w:val="bottom"/>
          </w:tcPr>
          <w:p>
            <w:pPr>
              <w:jc w:val="center"/>
              <w:ind w:left="497"/>
              <w:spacing w:after="0"/>
              <w:rPr>
                <w:sz w:val="20"/>
                <w:szCs w:val="20"/>
                <w:color w:val="auto"/>
              </w:rPr>
            </w:pPr>
            <w:r>
              <w:rPr>
                <w:rFonts w:ascii="Arial" w:cs="Arial" w:eastAsia="Arial" w:hAnsi="Arial"/>
                <w:sz w:val="14"/>
                <w:szCs w:val="14"/>
                <w:b w:val="1"/>
                <w:bCs w:val="1"/>
                <w:color w:val="auto"/>
                <w:w w:val="91"/>
              </w:rPr>
              <w:t>to be registered</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registered (1)</w:t>
            </w:r>
          </w:p>
        </w:tc>
        <w:tc>
          <w:tcPr>
            <w:tcW w:w="440" w:type="dxa"/>
            <w:vAlign w:val="bottom"/>
          </w:tcPr>
          <w:p>
            <w:pPr>
              <w:spacing w:after="0"/>
              <w:rPr>
                <w:sz w:val="16"/>
                <w:szCs w:val="16"/>
                <w:color w:val="auto"/>
              </w:rPr>
            </w:pPr>
          </w:p>
        </w:tc>
        <w:tc>
          <w:tcPr>
            <w:tcW w:w="160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per share</w:t>
            </w:r>
          </w:p>
        </w:tc>
        <w:tc>
          <w:tcPr>
            <w:tcW w:w="172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offering price</w:t>
            </w:r>
          </w:p>
        </w:tc>
        <w:tc>
          <w:tcPr>
            <w:tcW w:w="12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fee</w:t>
            </w:r>
          </w:p>
        </w:tc>
        <w:tc>
          <w:tcPr>
            <w:tcW w:w="0" w:type="dxa"/>
            <w:vAlign w:val="bottom"/>
          </w:tcPr>
          <w:p>
            <w:pPr>
              <w:spacing w:after="0"/>
              <w:rPr>
                <w:sz w:val="1"/>
                <w:szCs w:val="1"/>
                <w:color w:val="auto"/>
              </w:rPr>
            </w:pPr>
          </w:p>
        </w:tc>
      </w:tr>
      <w:tr>
        <w:trPr>
          <w:trHeight w:val="209"/>
        </w:trPr>
        <w:tc>
          <w:tcPr>
            <w:tcW w:w="4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2020 Incentive Award Plan</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6,465,359</w:t>
            </w:r>
          </w:p>
        </w:tc>
        <w:tc>
          <w:tcPr>
            <w:tcW w:w="4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(2)</w:t>
            </w:r>
          </w:p>
        </w:tc>
        <w:tc>
          <w:tcPr>
            <w:tcW w:w="1600" w:type="dxa"/>
            <w:vAlign w:val="bottom"/>
            <w:tcBorders>
              <w:top w:val="single" w:sz="8" w:color="auto"/>
            </w:tcBorders>
          </w:tcPr>
          <w:p>
            <w:pPr>
              <w:jc w:val="right"/>
              <w:ind w:right="181"/>
              <w:spacing w:after="0"/>
              <w:rPr>
                <w:sz w:val="20"/>
                <w:szCs w:val="20"/>
                <w:color w:val="auto"/>
              </w:rPr>
            </w:pPr>
            <w:r>
              <w:rPr>
                <w:rFonts w:ascii="Arial" w:cs="Arial" w:eastAsia="Arial" w:hAnsi="Arial"/>
                <w:sz w:val="18"/>
                <w:szCs w:val="18"/>
                <w:color w:val="auto"/>
              </w:rPr>
              <w:t>$21.00 (4)</w:t>
            </w:r>
          </w:p>
        </w:tc>
        <w:tc>
          <w:tcPr>
            <w:tcW w:w="1720" w:type="dxa"/>
            <w:vAlign w:val="bottom"/>
            <w:tcBorders>
              <w:top w:val="single" w:sz="8" w:color="auto"/>
            </w:tcBorders>
          </w:tcPr>
          <w:p>
            <w:pPr>
              <w:jc w:val="right"/>
              <w:ind w:right="121"/>
              <w:spacing w:after="0"/>
              <w:rPr>
                <w:sz w:val="20"/>
                <w:szCs w:val="20"/>
                <w:color w:val="auto"/>
              </w:rPr>
            </w:pPr>
            <w:r>
              <w:rPr>
                <w:rFonts w:ascii="Arial" w:cs="Arial" w:eastAsia="Arial" w:hAnsi="Arial"/>
                <w:sz w:val="18"/>
                <w:szCs w:val="18"/>
                <w:color w:val="auto"/>
              </w:rPr>
              <w:t>$135,772,539.00</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$17,623.28</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2020 Employee Stock Purchase Plan</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808,170</w:t>
            </w:r>
          </w:p>
        </w:tc>
        <w:tc>
          <w:tcPr>
            <w:tcW w:w="4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(3)</w:t>
            </w:r>
          </w:p>
        </w:tc>
        <w:tc>
          <w:tcPr>
            <w:tcW w:w="160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8"/>
                <w:szCs w:val="18"/>
                <w:color w:val="auto"/>
              </w:rPr>
              <w:t>$21.00 (4)</w:t>
            </w:r>
          </w:p>
        </w:tc>
        <w:tc>
          <w:tcPr>
            <w:tcW w:w="17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8"/>
                <w:szCs w:val="18"/>
                <w:color w:val="auto"/>
              </w:rPr>
              <w:t>$16,971,570.00</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$2,202.91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7,273,529</w:t>
            </w:r>
          </w:p>
        </w:tc>
        <w:tc>
          <w:tcPr>
            <w:tcW w:w="160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color w:val="auto"/>
              </w:rPr>
              <w:t>$152,744,109.00</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$19,826.19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60" w:hanging="424"/>
        <w:spacing w:after="0" w:line="26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promulgated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this Registration Statement shall also cover any additional shares of Class A Common Stock, par value $0.0001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GoHealth, Inc. (the “</w:t>
      </w:r>
      <w:r>
        <w:rPr>
          <w:rFonts w:ascii="Arial" w:cs="Arial" w:eastAsia="Arial" w:hAnsi="Arial"/>
          <w:sz w:val="17"/>
          <w:szCs w:val="17"/>
          <w:u w:val="single" w:color="auto"/>
          <w:color w:val="auto"/>
        </w:rPr>
        <w:t>Company</w:t>
      </w:r>
      <w:r>
        <w:rPr>
          <w:rFonts w:ascii="Arial" w:cs="Arial" w:eastAsia="Arial" w:hAnsi="Arial"/>
          <w:sz w:val="17"/>
          <w:szCs w:val="17"/>
          <w:color w:val="auto"/>
        </w:rPr>
        <w:t>”) that become issuable under the Company’s 2020 Incentive Award Plan (the “</w:t>
      </w:r>
      <w:r>
        <w:rPr>
          <w:rFonts w:ascii="Arial" w:cs="Arial" w:eastAsia="Arial" w:hAnsi="Arial"/>
          <w:sz w:val="17"/>
          <w:szCs w:val="17"/>
          <w:u w:val="single" w:color="auto"/>
          <w:color w:val="auto"/>
        </w:rPr>
        <w:t>2020 Plan</w:t>
      </w:r>
      <w:r>
        <w:rPr>
          <w:rFonts w:ascii="Arial" w:cs="Arial" w:eastAsia="Arial" w:hAnsi="Arial"/>
          <w:sz w:val="17"/>
          <w:szCs w:val="17"/>
          <w:color w:val="auto"/>
        </w:rPr>
        <w:t>”) and the Company’s 2020 Employee Stock Purchase Plan (the “</w:t>
      </w:r>
      <w:r>
        <w:rPr>
          <w:rFonts w:ascii="Arial" w:cs="Arial" w:eastAsia="Arial" w:hAnsi="Arial"/>
          <w:sz w:val="17"/>
          <w:szCs w:val="17"/>
          <w:u w:val="single" w:color="auto"/>
          <w:color w:val="auto"/>
        </w:rPr>
        <w:t>2020 ESPP</w:t>
      </w:r>
      <w:r>
        <w:rPr>
          <w:rFonts w:ascii="Arial" w:cs="Arial" w:eastAsia="Arial" w:hAnsi="Arial"/>
          <w:sz w:val="17"/>
          <w:szCs w:val="17"/>
          <w:color w:val="auto"/>
        </w:rPr>
        <w:t>”) by reason of any stock dividend, stock split, recapitalization or other similar transaction effected without receipt of consideration that increases the number of outstanding shares of Common Stock.</w:t>
      </w:r>
    </w:p>
    <w:p>
      <w:pPr>
        <w:spacing w:after="0" w:line="2" w:lineRule="exact"/>
        <w:rPr>
          <w:rFonts w:ascii="Arial" w:cs="Arial" w:eastAsia="Arial" w:hAnsi="Arial"/>
          <w:sz w:val="17"/>
          <w:szCs w:val="17"/>
          <w:color w:val="auto"/>
        </w:rPr>
      </w:pPr>
    </w:p>
    <w:p>
      <w:pPr>
        <w:ind w:left="424"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6,465,359 shares of Class A Common Stock reserved for issuance under the 2020 Plan. The number of shares of Common Stock reserved for issuance under the 2020 Plan will automatically increase on January 1 of each calendar year from January 1, 2021 through January 1, 2030, by that number of shares of Common Stock equal to the lesser of (i) 5% of the shares of all of the classes of the Company’s common stock outstanding on the last day of the immediately preceding fiscal year and (ii) such smaller number of shares of Common Stock as determined by the board of directors of the Company.</w:t>
      </w:r>
    </w:p>
    <w:p>
      <w:pPr>
        <w:spacing w:after="0" w:line="1" w:lineRule="exact"/>
        <w:rPr>
          <w:rFonts w:ascii="Arial" w:cs="Arial" w:eastAsia="Arial" w:hAnsi="Arial"/>
          <w:sz w:val="18"/>
          <w:szCs w:val="18"/>
          <w:color w:val="auto"/>
        </w:rPr>
      </w:pPr>
    </w:p>
    <w:p>
      <w:pPr>
        <w:ind w:left="424" w:right="6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808,170 shares of Class A Common Stock reserved for issuance under the 2020 ESPP. The number of shares of Common Stock reserved for issuance under the Company’s 2020 ESPP will automatically increase on January 1 of each calendar year from January 1, 2021 through January 1, 2030, by that number of shares of Common Stock equal to the lesser of (A) 1% of the shares of all of the Company’s classes of common stock outstanding on the final day of the immediately preceding calendar year and (B) such smaller number of shares of Common Stock as determined by the board of directors of the Company.</w:t>
      </w:r>
    </w:p>
    <w:p>
      <w:pPr>
        <w:spacing w:after="0" w:line="1" w:lineRule="exact"/>
        <w:rPr>
          <w:rFonts w:ascii="Arial" w:cs="Arial" w:eastAsia="Arial" w:hAnsi="Arial"/>
          <w:sz w:val="18"/>
          <w:szCs w:val="18"/>
          <w:color w:val="auto"/>
        </w:rPr>
      </w:pPr>
    </w:p>
    <w:p>
      <w:pPr>
        <w:ind w:left="424" w:right="320" w:hanging="424"/>
        <w:spacing w:after="0" w:line="323"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457(c) and Rule 457(h) of the Securities Act of 1933, and solely for the purposes of calculating the amount of the registration fee, the proposed maximum offering price is based on the initial public offering price of the Class A Common Stock ($21.00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148590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611" w:right="4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Plan Information.</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 required to be filed with this Registration Statement.</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 required to be filed with this Registration Statement.</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left="440" w:firstLine="423"/>
        <w:spacing w:after="0" w:line="263" w:lineRule="auto"/>
        <w:rPr>
          <w:sz w:val="20"/>
          <w:szCs w:val="20"/>
          <w:color w:val="auto"/>
        </w:rPr>
      </w:pPr>
      <w:r>
        <w:rPr>
          <w:rFonts w:ascii="Arial" w:cs="Arial" w:eastAsia="Arial" w:hAnsi="Arial"/>
          <w:sz w:val="18"/>
          <w:szCs w:val="18"/>
          <w:color w:val="auto"/>
        </w:rPr>
        <w:t>The following documents filed or to be filed (other than portions of those documents furnished or otherwise not deemed filed) by the Company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are incorporated into this Registration Statement by reference, as of their respective dates:</w:t>
      </w:r>
    </w:p>
    <w:p>
      <w:pPr>
        <w:spacing w:after="0" w:line="89" w:lineRule="exact"/>
        <w:rPr>
          <w:sz w:val="20"/>
          <w:szCs w:val="20"/>
          <w:color w:val="auto"/>
        </w:rPr>
      </w:pPr>
    </w:p>
    <w:p>
      <w:pPr>
        <w:ind w:left="1420" w:right="140" w:hanging="439"/>
        <w:spacing w:after="0" w:line="342" w:lineRule="auto"/>
        <w:tabs>
          <w:tab w:leader="none" w:pos="14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prospectus filed with the Commission on July 8, 2020, including all amendments and exhibits thereto, pursuant to Rule 424(b) under the Securities Act, relating to the registration statement on Form S-1, as amended (File No. 333-239287);</w:t>
      </w:r>
    </w:p>
    <w:p>
      <w:pPr>
        <w:spacing w:after="0" w:line="29" w:lineRule="exact"/>
        <w:rPr>
          <w:rFonts w:ascii="Arial" w:cs="Arial" w:eastAsia="Arial" w:hAnsi="Arial"/>
          <w:sz w:val="16"/>
          <w:szCs w:val="16"/>
          <w:color w:val="auto"/>
        </w:rPr>
      </w:pPr>
    </w:p>
    <w:p>
      <w:pPr>
        <w:ind w:left="1420" w:right="60" w:hanging="439"/>
        <w:spacing w:after="0" w:line="263"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Company’s Registration Statement on Form 8-A dated July 15, 2020 (File No. 001-39390) filed under the Exchange Act, including any amendment or report filed for the purpose of updating such description.</w:t>
      </w:r>
    </w:p>
    <w:p>
      <w:pPr>
        <w:spacing w:after="0" w:line="184" w:lineRule="exact"/>
        <w:rPr>
          <w:sz w:val="20"/>
          <w:szCs w:val="20"/>
          <w:color w:val="auto"/>
        </w:rPr>
      </w:pPr>
    </w:p>
    <w:p>
      <w:pPr>
        <w:ind w:left="440" w:right="140" w:firstLine="423"/>
        <w:spacing w:after="0" w:line="259" w:lineRule="auto"/>
        <w:rPr>
          <w:sz w:val="20"/>
          <w:szCs w:val="20"/>
          <w:color w:val="auto"/>
        </w:rPr>
      </w:pPr>
      <w:r>
        <w:rPr>
          <w:rFonts w:ascii="Arial" w:cs="Arial" w:eastAsia="Arial" w:hAnsi="Arial"/>
          <w:sz w:val="18"/>
          <w:szCs w:val="18"/>
          <w:color w:val="auto"/>
        </w:rPr>
        <w:t>All documents subsequently filed by the Company pursuant to Sections 13(a), 13(c), 14, and 15(d) of the Exchange Act subsequent to the date of this Registration Statement and prior to the filing of a post-effective amendment to this Registration Statement which indicates that all securities then remaining unsold shall be deregistered, shall be deemed to be incorporated by reference in the Registration Statement and to be a part thereof from the date of the filing of such documents.</w:t>
      </w:r>
    </w:p>
    <w:p>
      <w:pPr>
        <w:spacing w:after="0" w:line="187" w:lineRule="exact"/>
        <w:rPr>
          <w:sz w:val="20"/>
          <w:szCs w:val="20"/>
          <w:color w:val="auto"/>
        </w:rPr>
      </w:pPr>
    </w:p>
    <w:p>
      <w:pPr>
        <w:ind w:left="440" w:firstLine="423"/>
        <w:spacing w:after="0" w:line="279" w:lineRule="auto"/>
        <w:rPr>
          <w:sz w:val="20"/>
          <w:szCs w:val="20"/>
          <w:color w:val="auto"/>
        </w:rPr>
      </w:pPr>
      <w:r>
        <w:rPr>
          <w:rFonts w:ascii="Arial" w:cs="Arial" w:eastAsia="Arial" w:hAnsi="Arial"/>
          <w:sz w:val="17"/>
          <w:szCs w:val="17"/>
          <w:color w:val="auto"/>
        </w:rPr>
        <w:t>For purposes of this Registration Statement and the related prospectus, any statement contained in a document incorporated or deemed to be incorporated by reference shall be deemed to be modified or superseded to the extent that a statement contained herein or in a subsequently filed document which also is or is deemed to be incorporated herein by reference modifies or replaces such statement. Any statement so modified shall not be deemed in its unmodified form to constitute part of this Registration Statement or the related prospectus.</w:t>
      </w:r>
    </w:p>
    <w:p>
      <w:pPr>
        <w:spacing w:after="0" w:line="3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Section 102 of the General Corporation Law of the State of Delaware permits a corporation to eliminate the personal liability of directors of a corporation to the corporation or its stockholders for monetary damages for a</w:t>
      </w:r>
    </w:p>
    <w:p>
      <w:pPr>
        <w:sectPr>
          <w:pgSz w:w="11900" w:h="16838" w:orient="portrait"/>
          <w:cols w:equalWidth="0" w:num="1">
            <w:col w:w="10940"/>
          </w:cols>
          <w:pgMar w:left="440" w:top="270" w:right="519" w:bottom="1440" w:gutter="0" w:footer="0" w:header="0"/>
        </w:sectPr>
      </w:pPr>
    </w:p>
    <w:bookmarkStart w:id="3" w:name="page4"/>
    <w:bookmarkEnd w:id="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breach of fiduciary duty as a director, except where the director breached his duty of loyalty, failed to act in good faith, engaged in intentional misconduct or knowingly violated a law, authorized the payment of a dividend or approved a stock repurchase or redemption in violation of Delaware corporate law or obtained an improper personal benefit. The Company’s amended and restated certificate of incorporation provides that no director of GoHealth, Inc.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92"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68"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Upon consummation of the Transactions, the Company’s amended and restated certificate of incorporation and amended and restated bylaws will provide indemnification for the Company’s directors and officers to the fullest extent permitted by the General Corporation Law of the State of Delaware. The Company will indemnify each person who was or is a party or threatened to be made a party to any threatened, pending or completed action, suit or proceeding (other than an action by or in the right of the Company) by reason of the fact that he or she is or was, or has agreed to become, a director or officer, or is or was serving, or has agreed to serve, at the Company’s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the Company’s best interests, and, with respect to any criminal action or proceeding, he or she had no reasonable cause to believe his or her conduct was unlawful. The Company’s amended and restated certificate of incorporation and amended and restated bylaws will provide that the Company will indemnify any Indemnitee who was or is a party to an action or suit by or in the right of the Company to procure a judgment in the Company’s favor by reason of the fact that the Indemnitee is or was, or has agreed to become, a director or officer, or is or was serving, or has agreed to serve, at the Company’s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the Company’s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the Company against all expenses (including attorneys’ fees) actually and reasonably incurred in connection therewith. Expenses must be advanced to an Indemnitee under certain circumstances.</w:t>
      </w:r>
    </w:p>
    <w:p>
      <w:pPr>
        <w:sectPr>
          <w:pgSz w:w="11900" w:h="16838" w:orient="portrait"/>
          <w:cols w:equalWidth="0" w:num="1">
            <w:col w:w="10960"/>
          </w:cols>
          <w:pgMar w:left="440" w:top="274" w:right="499" w:bottom="1440" w:gutter="0" w:footer="0" w:header="0"/>
        </w:sectPr>
      </w:pPr>
    </w:p>
    <w:bookmarkStart w:id="4" w:name="page5"/>
    <w:bookmarkEnd w:id="4"/>
    <w:p>
      <w:pPr>
        <w:ind w:right="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Prior to the consummation of this offering, the Company intends to enter into separate indemnification agreements with each of the Company’s directors and executive officers. Each indemnification agreement will provide, among other things, for indemnification to the fullest extent permitted by law against any and all expenses, judgments, fines, penalties and amounts paid in settlement of any claim. The indemnification agreements will provide for the advancement or payment of all expenses to the indemnitee and for the reimbursement to the Company if it is found that such indemnitee is not entitled to such indemnification under applicable law and the Company’s amended and restated certificate of incorporation and amended and restated bylaws.</w:t>
      </w:r>
    </w:p>
    <w:p>
      <w:pPr>
        <w:spacing w:after="0" w:line="192"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Company maintains a general liability insurance policy that covers certain liabilities of directors and officers of the Company arising out of claims based on acts or omissions in their capacities as directors or officers.</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In any underwriting agreement the Company enters into in connection with the sale of Class A common stock being registered hereby, the underwriters will agree to indemnify, under certain conditions, the Company, its directors and officers and persons who control the Company within the meaning of the Securities Act, against certain liabilities.</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40" w:right="520" w:firstLine="423"/>
        <w:spacing w:after="0" w:line="277" w:lineRule="auto"/>
        <w:rPr>
          <w:sz w:val="20"/>
          <w:szCs w:val="20"/>
          <w:color w:val="auto"/>
        </w:rPr>
      </w:pPr>
      <w:r>
        <w:rPr>
          <w:rFonts w:ascii="Arial" w:cs="Arial" w:eastAsia="Arial" w:hAnsi="Arial"/>
          <w:sz w:val="18"/>
          <w:szCs w:val="18"/>
          <w:color w:val="auto"/>
        </w:rPr>
        <w:t>The Exhibits listed on the accompanying Index to Exhibits are filed as part hereof, or incorporated by reference into, this Registration Statement. See Exhibit Index below.</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The Company hereby undertakes:</w:t>
      </w:r>
    </w:p>
    <w:p>
      <w:pPr>
        <w:spacing w:after="0" w:line="117" w:lineRule="exact"/>
        <w:rPr>
          <w:sz w:val="20"/>
          <w:szCs w:val="20"/>
          <w:color w:val="auto"/>
        </w:rPr>
      </w:pPr>
    </w:p>
    <w:p>
      <w:pPr>
        <w:ind w:left="1640" w:hanging="252"/>
        <w:spacing w:after="0"/>
        <w:tabs>
          <w:tab w:leader="none" w:pos="1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140" w:lineRule="exact"/>
        <w:rPr>
          <w:rFonts w:ascii="Arial" w:cs="Arial" w:eastAsia="Arial" w:hAnsi="Arial"/>
          <w:sz w:val="16"/>
          <w:szCs w:val="16"/>
          <w:color w:val="auto"/>
        </w:rPr>
      </w:pPr>
    </w:p>
    <w:p>
      <w:pPr>
        <w:ind w:left="1380"/>
        <w:spacing w:after="0"/>
        <w:rPr>
          <w:rFonts w:ascii="Arial" w:cs="Arial" w:eastAsia="Arial" w:hAnsi="Arial"/>
          <w:sz w:val="16"/>
          <w:szCs w:val="16"/>
          <w:color w:val="auto"/>
        </w:rPr>
      </w:pPr>
      <w:r>
        <w:rPr>
          <w:rFonts w:ascii="Arial" w:cs="Arial" w:eastAsia="Arial" w:hAnsi="Arial"/>
          <w:sz w:val="18"/>
          <w:szCs w:val="18"/>
          <w:color w:val="auto"/>
        </w:rPr>
        <w:t>(i) To include any prospectus required by Section 10(a)(3) of the Securities Act;</w:t>
      </w:r>
    </w:p>
    <w:p>
      <w:pPr>
        <w:spacing w:after="0" w:line="117" w:lineRule="exact"/>
        <w:rPr>
          <w:sz w:val="20"/>
          <w:szCs w:val="20"/>
          <w:color w:val="auto"/>
        </w:rPr>
      </w:pPr>
    </w:p>
    <w:p>
      <w:pPr>
        <w:ind w:left="980" w:right="60" w:firstLine="408"/>
        <w:spacing w:after="0" w:line="272" w:lineRule="auto"/>
        <w:tabs>
          <w:tab w:leader="none" w:pos="1646"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69" w:lineRule="exact"/>
        <w:rPr>
          <w:rFonts w:ascii="Arial" w:cs="Arial" w:eastAsia="Arial" w:hAnsi="Arial"/>
          <w:sz w:val="17"/>
          <w:szCs w:val="17"/>
          <w:color w:val="auto"/>
        </w:rPr>
      </w:pPr>
    </w:p>
    <w:p>
      <w:pPr>
        <w:ind w:left="980" w:right="740" w:firstLine="408"/>
        <w:spacing w:after="0" w:line="277" w:lineRule="auto"/>
        <w:tabs>
          <w:tab w:leader="none" w:pos="1696"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440"/>
        <w:spacing w:after="0" w:line="311"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paragraphs (A)(1)(i) and (A)(1)(ii) do not apply if the Registration Statement is on Form S-8, and the information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included in the post-effective amendment by those paragraphs is contained in periodic reports filed with or furnished to the Commission by the Company pursuant to Section 13 or Section 15(d) of the Exchange Act that are incorporated by reference in this Registration Statement.</w:t>
      </w:r>
    </w:p>
    <w:p>
      <w:pPr>
        <w:spacing w:after="0" w:line="149" w:lineRule="exact"/>
        <w:rPr>
          <w:sz w:val="20"/>
          <w:szCs w:val="20"/>
          <w:color w:val="auto"/>
        </w:rPr>
      </w:pPr>
    </w:p>
    <w:p>
      <w:pPr>
        <w:ind w:left="980" w:right="40" w:firstLine="408"/>
        <w:spacing w:after="0" w:line="263" w:lineRule="auto"/>
        <w:tabs>
          <w:tab w:leader="none" w:pos="163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000"/>
          </w:cols>
          <w:pgMar w:left="440" w:top="274" w:right="459" w:bottom="1440" w:gutter="0" w:footer="0" w:header="0"/>
        </w:sectPr>
      </w:pPr>
    </w:p>
    <w:bookmarkStart w:id="5" w:name="page6"/>
    <w:bookmarkEnd w:id="5"/>
    <w:p>
      <w:pPr>
        <w:ind w:left="121" w:right="80" w:firstLine="408"/>
        <w:spacing w:after="0" w:line="277" w:lineRule="auto"/>
        <w:tabs>
          <w:tab w:leader="none" w:pos="776" w:val="left"/>
        </w:tabs>
        <w:numPr>
          <w:ilvl w:val="1"/>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19" w:firstLine="419"/>
        <w:spacing w:after="0" w:line="257" w:lineRule="auto"/>
        <w:tabs>
          <w:tab w:leader="none" w:pos="21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419" w:firstLine="419"/>
        <w:spacing w:after="0" w:line="271" w:lineRule="auto"/>
        <w:tabs>
          <w:tab w:leader="none" w:pos="214" w:val="left"/>
        </w:tabs>
        <w:numPr>
          <w:ilvl w:val="0"/>
          <w:numId w:val="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ectPr>
          <w:pgSz w:w="11900" w:h="16838" w:orient="portrait"/>
          <w:cols w:equalWidth="0" w:num="1">
            <w:col w:w="10101"/>
          </w:cols>
          <w:pgMar w:left="1299" w:top="274" w:right="49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440" w:type="dxa"/>
            <w:vAlign w:val="bottom"/>
            <w:gridSpan w:val="7"/>
          </w:tcPr>
          <w:p>
            <w:pPr>
              <w:ind w:left="12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40" w:type="dxa"/>
            <w:vAlign w:val="bottom"/>
            <w:gridSpan w:val="7"/>
            <w:vMerge w:val="restart"/>
          </w:tcPr>
          <w:p>
            <w:pPr>
              <w:ind w:left="228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85"/>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744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20" w:type="dxa"/>
            <w:vAlign w:val="bottom"/>
          </w:tcPr>
          <w:p>
            <w:pPr>
              <w:jc w:val="center"/>
              <w:spacing w:after="0" w:line="169" w:lineRule="exact"/>
              <w:rPr>
                <w:sz w:val="20"/>
                <w:szCs w:val="20"/>
                <w:color w:val="auto"/>
              </w:rPr>
            </w:pPr>
            <w:r>
              <w:rPr>
                <w:rFonts w:ascii="Arial" w:cs="Arial" w:eastAsia="Arial" w:hAnsi="Arial"/>
                <w:sz w:val="18"/>
                <w:szCs w:val="18"/>
                <w:color w:val="auto"/>
                <w:w w:val="99"/>
              </w:rPr>
              <w:t>4.1*</w:t>
            </w:r>
          </w:p>
        </w:tc>
        <w:tc>
          <w:tcPr>
            <w:tcW w:w="240" w:type="dxa"/>
            <w:vAlign w:val="bottom"/>
          </w:tcPr>
          <w:p>
            <w:pPr>
              <w:spacing w:after="0"/>
              <w:rPr>
                <w:sz w:val="14"/>
                <w:szCs w:val="14"/>
                <w:color w:val="auto"/>
              </w:rPr>
            </w:pPr>
          </w:p>
        </w:tc>
        <w:tc>
          <w:tcPr>
            <w:tcW w:w="9380" w:type="dxa"/>
            <w:vAlign w:val="bottom"/>
            <w:tcBorders>
              <w:bottom w:val="single" w:sz="8" w:color="0000EE"/>
            </w:tcBorders>
            <w:gridSpan w:val="8"/>
          </w:tcPr>
          <w:p>
            <w:pPr>
              <w:spacing w:after="0" w:line="169"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Form of Amended and Restated Certificate of Incorporation of GoHealth, Inc., to be effective immediately prior to the completion</w:t>
              </w:r>
            </w:hyperlink>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60" w:type="dxa"/>
            <w:vAlign w:val="bottom"/>
            <w:gridSpan w:val="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of the initial public offering.</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2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240" w:type="dxa"/>
            <w:vAlign w:val="bottom"/>
          </w:tcPr>
          <w:p>
            <w:pPr>
              <w:spacing w:after="0"/>
              <w:rPr>
                <w:sz w:val="24"/>
                <w:szCs w:val="24"/>
                <w:color w:val="auto"/>
              </w:rPr>
            </w:pPr>
          </w:p>
        </w:tc>
        <w:tc>
          <w:tcPr>
            <w:tcW w:w="93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Form of Amended and Restated Bylaws of GoHealth, Inc., to be effective immediately prior to the completion of the initial public</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60" w:type="dxa"/>
            <w:vAlign w:val="bottom"/>
            <w:gridSpan w:val="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offering.</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2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2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Opinion of Latham &amp; Watkins LLP</w:t>
              </w:r>
            </w:hyperlink>
          </w:p>
        </w:tc>
        <w:tc>
          <w:tcPr>
            <w:tcW w:w="0" w:type="dxa"/>
            <w:vAlign w:val="bottom"/>
          </w:tcPr>
          <w:p>
            <w:pPr>
              <w:spacing w:after="0"/>
              <w:rPr>
                <w:sz w:val="1"/>
                <w:szCs w:val="1"/>
                <w:color w:val="auto"/>
              </w:rPr>
            </w:pPr>
          </w:p>
        </w:tc>
      </w:tr>
      <w:tr>
        <w:trPr>
          <w:trHeight w:val="432"/>
        </w:trPr>
        <w:tc>
          <w:tcPr>
            <w:tcW w:w="1320" w:type="dxa"/>
            <w:vAlign w:val="bottom"/>
          </w:tcPr>
          <w:p>
            <w:pPr>
              <w:jc w:val="center"/>
              <w:spacing w:after="0"/>
              <w:rPr>
                <w:sz w:val="20"/>
                <w:szCs w:val="20"/>
                <w:color w:val="auto"/>
              </w:rPr>
            </w:pPr>
            <w:r>
              <w:rPr>
                <w:rFonts w:ascii="Arial" w:cs="Arial" w:eastAsia="Arial" w:hAnsi="Arial"/>
                <w:sz w:val="18"/>
                <w:szCs w:val="18"/>
                <w:color w:val="auto"/>
                <w:w w:val="95"/>
              </w:rPr>
              <w:t>23.1*</w:t>
            </w:r>
          </w:p>
        </w:tc>
        <w:tc>
          <w:tcPr>
            <w:tcW w:w="2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Consent of Ernst &amp; Young LLP as to GoHealth, Inc.</w:t>
              </w:r>
            </w:hyperlink>
          </w:p>
        </w:tc>
        <w:tc>
          <w:tcPr>
            <w:tcW w:w="0" w:type="dxa"/>
            <w:vAlign w:val="bottom"/>
          </w:tcPr>
          <w:p>
            <w:pPr>
              <w:spacing w:after="0"/>
              <w:rPr>
                <w:sz w:val="1"/>
                <w:szCs w:val="1"/>
                <w:color w:val="auto"/>
              </w:rPr>
            </w:pPr>
          </w:p>
        </w:tc>
      </w:tr>
      <w:tr>
        <w:trPr>
          <w:trHeight w:val="432"/>
        </w:trPr>
        <w:tc>
          <w:tcPr>
            <w:tcW w:w="1320" w:type="dxa"/>
            <w:vAlign w:val="bottom"/>
          </w:tcPr>
          <w:p>
            <w:pPr>
              <w:jc w:val="center"/>
              <w:spacing w:after="0"/>
              <w:rPr>
                <w:sz w:val="20"/>
                <w:szCs w:val="20"/>
                <w:color w:val="auto"/>
              </w:rPr>
            </w:pPr>
            <w:r>
              <w:rPr>
                <w:rFonts w:ascii="Arial" w:cs="Arial" w:eastAsia="Arial" w:hAnsi="Arial"/>
                <w:sz w:val="18"/>
                <w:szCs w:val="18"/>
                <w:color w:val="auto"/>
                <w:w w:val="95"/>
              </w:rPr>
              <w:t>23.2*</w:t>
            </w:r>
          </w:p>
        </w:tc>
        <w:tc>
          <w:tcPr>
            <w:tcW w:w="2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Consent of Ernst &amp; Young LLP as to GoHealth Holdings, LLC.</w:t>
              </w:r>
            </w:hyperlink>
          </w:p>
        </w:tc>
        <w:tc>
          <w:tcPr>
            <w:tcW w:w="0" w:type="dxa"/>
            <w:vAlign w:val="bottom"/>
          </w:tcPr>
          <w:p>
            <w:pPr>
              <w:spacing w:after="0"/>
              <w:rPr>
                <w:sz w:val="1"/>
                <w:szCs w:val="1"/>
                <w:color w:val="auto"/>
              </w:rPr>
            </w:pPr>
          </w:p>
        </w:tc>
      </w:tr>
      <w:tr>
        <w:trPr>
          <w:trHeight w:val="432"/>
        </w:trPr>
        <w:tc>
          <w:tcPr>
            <w:tcW w:w="1320" w:type="dxa"/>
            <w:vAlign w:val="bottom"/>
          </w:tcPr>
          <w:p>
            <w:pPr>
              <w:jc w:val="center"/>
              <w:spacing w:after="0"/>
              <w:rPr>
                <w:sz w:val="20"/>
                <w:szCs w:val="20"/>
                <w:color w:val="auto"/>
              </w:rPr>
            </w:pPr>
            <w:r>
              <w:rPr>
                <w:rFonts w:ascii="Arial" w:cs="Arial" w:eastAsia="Arial" w:hAnsi="Arial"/>
                <w:sz w:val="18"/>
                <w:szCs w:val="18"/>
                <w:color w:val="auto"/>
                <w:w w:val="95"/>
              </w:rPr>
              <w:t>23.3*</w:t>
            </w:r>
          </w:p>
        </w:tc>
        <w:tc>
          <w:tcPr>
            <w:tcW w:w="2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Consent of Latham &amp; Watkins LLP (included in Exhibit 5.1)</w:t>
              </w:r>
            </w:hyperlink>
          </w:p>
        </w:tc>
        <w:tc>
          <w:tcPr>
            <w:tcW w:w="0" w:type="dxa"/>
            <w:vAlign w:val="bottom"/>
          </w:tcPr>
          <w:p>
            <w:pPr>
              <w:spacing w:after="0"/>
              <w:rPr>
                <w:sz w:val="1"/>
                <w:szCs w:val="1"/>
                <w:color w:val="auto"/>
              </w:rPr>
            </w:pPr>
          </w:p>
        </w:tc>
      </w:tr>
      <w:tr>
        <w:trPr>
          <w:trHeight w:val="432"/>
        </w:trPr>
        <w:tc>
          <w:tcPr>
            <w:tcW w:w="1320" w:type="dxa"/>
            <w:vAlign w:val="bottom"/>
          </w:tcPr>
          <w:p>
            <w:pPr>
              <w:jc w:val="center"/>
              <w:spacing w:after="0"/>
              <w:rPr>
                <w:sz w:val="20"/>
                <w:szCs w:val="20"/>
                <w:color w:val="auto"/>
              </w:rPr>
            </w:pPr>
            <w:r>
              <w:rPr>
                <w:rFonts w:ascii="Arial" w:cs="Arial" w:eastAsia="Arial" w:hAnsi="Arial"/>
                <w:sz w:val="18"/>
                <w:szCs w:val="18"/>
                <w:color w:val="auto"/>
                <w:w w:val="95"/>
              </w:rPr>
              <w:t>24.1*</w:t>
            </w:r>
          </w:p>
        </w:tc>
        <w:tc>
          <w:tcPr>
            <w:tcW w:w="2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Power of Attorney (included on the signature page hereto)</w:t>
              </w:r>
            </w:hyperlink>
          </w:p>
        </w:tc>
        <w:tc>
          <w:tcPr>
            <w:tcW w:w="0" w:type="dxa"/>
            <w:vAlign w:val="bottom"/>
          </w:tcPr>
          <w:p>
            <w:pPr>
              <w:spacing w:after="0"/>
              <w:rPr>
                <w:sz w:val="1"/>
                <w:szCs w:val="1"/>
                <w:color w:val="auto"/>
              </w:rPr>
            </w:pPr>
          </w:p>
        </w:tc>
      </w:tr>
      <w:tr>
        <w:trPr>
          <w:trHeight w:val="392"/>
        </w:trPr>
        <w:tc>
          <w:tcPr>
            <w:tcW w:w="13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240" w:type="dxa"/>
            <w:vAlign w:val="bottom"/>
          </w:tcPr>
          <w:p>
            <w:pPr>
              <w:spacing w:after="0"/>
              <w:rPr>
                <w:sz w:val="24"/>
                <w:szCs w:val="24"/>
                <w:color w:val="auto"/>
              </w:rPr>
            </w:pPr>
          </w:p>
        </w:tc>
        <w:tc>
          <w:tcPr>
            <w:tcW w:w="9220" w:type="dxa"/>
            <w:vAlign w:val="bottom"/>
            <w:tcBorders>
              <w:bottom w:val="single" w:sz="8" w:color="0000EE"/>
            </w:tcBorders>
            <w:gridSpan w:val="6"/>
          </w:tcPr>
          <w:p>
            <w:pPr>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GoHealth, Inc. 2020 Incentive Award Plan (incorporated by reference to Exhibit 10.6 to the Registrant’s Registration Statement</w:t>
              </w:r>
            </w:hyperlink>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23">
              <w:r>
                <w:rPr>
                  <w:rFonts w:ascii="Arial" w:cs="Arial" w:eastAsia="Arial" w:hAnsi="Arial"/>
                  <w:sz w:val="18"/>
                  <w:szCs w:val="18"/>
                  <w:color w:val="0000EE"/>
                  <w:w w:val="92"/>
                </w:rPr>
                <w:t>(File No. 333-239287), filed on July 8, 2020 with the Commission).</w:t>
              </w:r>
            </w:hyperlink>
          </w:p>
        </w:tc>
        <w:tc>
          <w:tcPr>
            <w:tcW w:w="45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2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color w:val="0000EE"/>
                <w:w w:val="94"/>
              </w:rPr>
            </w:pPr>
            <w:hyperlink r:id="rId24">
              <w:r>
                <w:rPr>
                  <w:rFonts w:ascii="Arial" w:cs="Arial" w:eastAsia="Arial" w:hAnsi="Arial"/>
                  <w:sz w:val="18"/>
                  <w:szCs w:val="18"/>
                  <w:color w:val="0000EE"/>
                  <w:w w:val="94"/>
                </w:rPr>
                <w:t>GoHealth, Inc. 2020 Employee Stock Purchase Plan (incorporated by reference to Exhibit 10.7 to the Registrant’s Registration</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1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Statement (File No. 333-239287), filed on July 8, 2020 with the Commission).</w:t>
              </w:r>
            </w:hyperlink>
          </w:p>
        </w:tc>
        <w:tc>
          <w:tcPr>
            <w:tcW w:w="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024"/>
          </w:cols>
          <w:pgMar w:left="436" w:top="270" w:right="43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Chicago, State of Illinois, on July 15</w:t>
      </w:r>
      <w:r>
        <w:rPr>
          <w:rFonts w:ascii="Arial" w:cs="Arial" w:eastAsia="Arial" w:hAnsi="Arial"/>
          <w:sz w:val="15"/>
          <w:szCs w:val="15"/>
          <w:color w:val="auto"/>
        </w:rPr>
        <w:t>th</w:t>
      </w:r>
      <w:r>
        <w:rPr>
          <w:rFonts w:ascii="Arial" w:cs="Arial" w:eastAsia="Arial" w:hAnsi="Arial"/>
          <w:sz w:val="18"/>
          <w:szCs w:val="18"/>
          <w:color w:val="auto"/>
        </w:rPr>
        <w:t>, 2020.</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GOHEALTH,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Travis J. Matthiesen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Each of the undersigned officers and directors of GoHealth, Inc. hereby constitutes and appoints Clinton P. Jones and Travis J. Matthiesen, and each of them any of whom may act without joinder of the other, the individual’s true and lawful attorneys-in-fact and agents, each with full power of substitution and resubstitution, for the person and in his or her name, place and stead, in any and all capacities, to sign this Registration Statement and any and all amendments (including post-effective amendments) to this Registration Statement and all documents relating thereto, and to file the same, with all exhibits thereto, and other documents in connection therewith, with the Securities and Exchange Commission, granting unto such attorneys-in-fact and agents, each acting alone, full power and authority to do and perform each and every act and thing necessary or advisable to be done in and about the premises, as fully to all intents and purposes as such person might or could do in person, hereby ratifying and confirming all that such attorneys-in-fact and agents, each acting alone, or such person’s substitute or substitutes, lawfully may do or cause to be done by virtue hereof.</w:t>
      </w:r>
    </w:p>
    <w:p>
      <w:pPr>
        <w:spacing w:after="0" w:line="16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92"/>
              </w:rPr>
              <w:t>Signature</w:t>
            </w:r>
          </w:p>
        </w:tc>
        <w:tc>
          <w:tcPr>
            <w:tcW w:w="11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9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425"/>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Clinton P. Jones</w:t>
            </w:r>
          </w:p>
        </w:tc>
        <w:tc>
          <w:tcPr>
            <w:tcW w:w="1180" w:type="dxa"/>
            <w:vAlign w:val="bottom"/>
            <w:tcBorders>
              <w:bottom w:val="single" w:sz="8" w:color="auto"/>
            </w:tcBorders>
          </w:tcPr>
          <w:p>
            <w:pPr>
              <w:spacing w:after="0"/>
              <w:rPr>
                <w:sz w:val="24"/>
                <w:szCs w:val="24"/>
                <w:color w:val="auto"/>
              </w:rPr>
            </w:pPr>
          </w:p>
        </w:tc>
        <w:tc>
          <w:tcPr>
            <w:tcW w:w="610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Director (Principal Executive Officer)</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w w:val="89"/>
              </w:rPr>
              <w:t>July 15, 2020</w:t>
            </w:r>
          </w:p>
        </w:tc>
      </w:tr>
      <w:tr>
        <w:trPr>
          <w:trHeight w:val="224"/>
        </w:trPr>
        <w:tc>
          <w:tcPr>
            <w:tcW w:w="1800" w:type="dxa"/>
            <w:vAlign w:val="bottom"/>
            <w:gridSpan w:val="2"/>
          </w:tcPr>
          <w:p>
            <w:pPr>
              <w:spacing w:after="0"/>
              <w:rPr>
                <w:sz w:val="20"/>
                <w:szCs w:val="20"/>
                <w:color w:val="auto"/>
              </w:rPr>
            </w:pPr>
            <w:r>
              <w:rPr>
                <w:rFonts w:ascii="Arial" w:cs="Arial" w:eastAsia="Arial" w:hAnsi="Arial"/>
                <w:sz w:val="18"/>
                <w:szCs w:val="18"/>
                <w:color w:val="auto"/>
              </w:rPr>
              <w:t>Clinton P. Jones</w:t>
            </w:r>
          </w:p>
        </w:tc>
        <w:tc>
          <w:tcPr>
            <w:tcW w:w="11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03"/>
        </w:trPr>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100" w:type="dxa"/>
            <w:vAlign w:val="bottom"/>
            <w:gridSpan w:val="3"/>
          </w:tcPr>
          <w:p>
            <w:pPr>
              <w:ind w:left="220"/>
              <w:spacing w:after="0"/>
              <w:rPr>
                <w:sz w:val="20"/>
                <w:szCs w:val="20"/>
                <w:color w:val="auto"/>
              </w:rPr>
            </w:pPr>
            <w:r>
              <w:rPr>
                <w:rFonts w:ascii="Arial" w:cs="Arial" w:eastAsia="Arial" w:hAnsi="Arial"/>
                <w:sz w:val="18"/>
                <w:szCs w:val="18"/>
                <w:color w:val="auto"/>
                <w:w w:val="98"/>
              </w:rPr>
              <w:t>Chief Financial Officer (Principal Financial Officer and Principal Accounting</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w w:val="89"/>
              </w:rPr>
              <w:t>July 15, 2020</w:t>
            </w:r>
          </w:p>
        </w:tc>
      </w:tr>
      <w:tr>
        <w:trPr>
          <w:trHeight w:val="230"/>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/s/ Travis J. Matthiesen</w:t>
            </w:r>
          </w:p>
        </w:tc>
        <w:tc>
          <w:tcPr>
            <w:tcW w:w="1180" w:type="dxa"/>
            <w:vAlign w:val="bottom"/>
            <w:tcBorders>
              <w:bottom w:val="single" w:sz="8" w:color="auto"/>
            </w:tcBorders>
          </w:tcPr>
          <w:p>
            <w:pPr>
              <w:spacing w:after="0"/>
              <w:rPr>
                <w:sz w:val="20"/>
                <w:szCs w:val="20"/>
                <w:color w:val="auto"/>
              </w:rPr>
            </w:pPr>
          </w:p>
        </w:tc>
        <w:tc>
          <w:tcPr>
            <w:tcW w:w="6100" w:type="dxa"/>
            <w:vAlign w:val="bottom"/>
            <w:gridSpan w:val="3"/>
          </w:tcPr>
          <w:p>
            <w:pPr>
              <w:ind w:left="220"/>
              <w:spacing w:after="0"/>
              <w:rPr>
                <w:sz w:val="20"/>
                <w:szCs w:val="20"/>
                <w:color w:val="auto"/>
              </w:rPr>
            </w:pPr>
            <w:r>
              <w:rPr>
                <w:rFonts w:ascii="Arial" w:cs="Arial" w:eastAsia="Arial" w:hAnsi="Arial"/>
                <w:sz w:val="18"/>
                <w:szCs w:val="18"/>
                <w:color w:val="auto"/>
              </w:rPr>
              <w:t>Officer)</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24"/>
        </w:trPr>
        <w:tc>
          <w:tcPr>
            <w:tcW w:w="1800" w:type="dxa"/>
            <w:vAlign w:val="bottom"/>
            <w:gridSpan w:val="2"/>
          </w:tcPr>
          <w:p>
            <w:pPr>
              <w:spacing w:after="0"/>
              <w:rPr>
                <w:sz w:val="20"/>
                <w:szCs w:val="20"/>
                <w:color w:val="auto"/>
              </w:rPr>
            </w:pPr>
            <w:r>
              <w:rPr>
                <w:rFonts w:ascii="Arial" w:cs="Arial" w:eastAsia="Arial" w:hAnsi="Arial"/>
                <w:sz w:val="18"/>
                <w:szCs w:val="18"/>
                <w:color w:val="auto"/>
              </w:rPr>
              <w:t>Travis J. Matthiesen</w:t>
            </w:r>
          </w:p>
        </w:tc>
        <w:tc>
          <w:tcPr>
            <w:tcW w:w="11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18"/>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Brandon M. Cruz</w:t>
            </w:r>
          </w:p>
        </w:tc>
        <w:tc>
          <w:tcPr>
            <w:tcW w:w="1180" w:type="dxa"/>
            <w:vAlign w:val="bottom"/>
            <w:tcBorders>
              <w:bottom w:val="single" w:sz="8" w:color="auto"/>
            </w:tcBorders>
          </w:tcPr>
          <w:p>
            <w:pPr>
              <w:spacing w:after="0"/>
              <w:rPr>
                <w:sz w:val="24"/>
                <w:szCs w:val="24"/>
                <w:color w:val="auto"/>
              </w:rPr>
            </w:pPr>
          </w:p>
        </w:tc>
        <w:tc>
          <w:tcPr>
            <w:tcW w:w="61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w w:val="89"/>
              </w:rPr>
              <w:t>July 15, 2020</w:t>
            </w:r>
          </w:p>
        </w:tc>
      </w:tr>
      <w:tr>
        <w:trPr>
          <w:trHeight w:val="224"/>
        </w:trPr>
        <w:tc>
          <w:tcPr>
            <w:tcW w:w="1800" w:type="dxa"/>
            <w:vAlign w:val="bottom"/>
            <w:gridSpan w:val="2"/>
          </w:tcPr>
          <w:p>
            <w:pPr>
              <w:spacing w:after="0"/>
              <w:rPr>
                <w:sz w:val="20"/>
                <w:szCs w:val="20"/>
                <w:color w:val="auto"/>
              </w:rPr>
            </w:pPr>
            <w:r>
              <w:rPr>
                <w:rFonts w:ascii="Arial" w:cs="Arial" w:eastAsia="Arial" w:hAnsi="Arial"/>
                <w:sz w:val="18"/>
                <w:szCs w:val="18"/>
                <w:color w:val="auto"/>
              </w:rPr>
              <w:t>Brandon M. Cruz</w:t>
            </w:r>
          </w:p>
        </w:tc>
        <w:tc>
          <w:tcPr>
            <w:tcW w:w="11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18"/>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Rahm Emanuel</w:t>
            </w:r>
          </w:p>
        </w:tc>
        <w:tc>
          <w:tcPr>
            <w:tcW w:w="1180" w:type="dxa"/>
            <w:vAlign w:val="bottom"/>
            <w:tcBorders>
              <w:bottom w:val="single" w:sz="8" w:color="auto"/>
            </w:tcBorders>
          </w:tcPr>
          <w:p>
            <w:pPr>
              <w:spacing w:after="0"/>
              <w:rPr>
                <w:sz w:val="24"/>
                <w:szCs w:val="24"/>
                <w:color w:val="auto"/>
              </w:rPr>
            </w:pPr>
          </w:p>
        </w:tc>
        <w:tc>
          <w:tcPr>
            <w:tcW w:w="61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w w:val="89"/>
              </w:rPr>
              <w:t>July 15, 2020</w:t>
            </w:r>
          </w:p>
        </w:tc>
      </w:tr>
      <w:tr>
        <w:trPr>
          <w:trHeight w:val="224"/>
        </w:trPr>
        <w:tc>
          <w:tcPr>
            <w:tcW w:w="1800" w:type="dxa"/>
            <w:vAlign w:val="bottom"/>
            <w:gridSpan w:val="2"/>
          </w:tcPr>
          <w:p>
            <w:pPr>
              <w:spacing w:after="0"/>
              <w:rPr>
                <w:sz w:val="20"/>
                <w:szCs w:val="20"/>
                <w:color w:val="auto"/>
              </w:rPr>
            </w:pPr>
            <w:r>
              <w:rPr>
                <w:rFonts w:ascii="Arial" w:cs="Arial" w:eastAsia="Arial" w:hAnsi="Arial"/>
                <w:sz w:val="18"/>
                <w:szCs w:val="18"/>
                <w:color w:val="auto"/>
              </w:rPr>
              <w:t>Rahm Emanuel</w:t>
            </w:r>
          </w:p>
        </w:tc>
        <w:tc>
          <w:tcPr>
            <w:tcW w:w="11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18"/>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 Joseph G. Flanagan</w:t>
            </w:r>
          </w:p>
        </w:tc>
        <w:tc>
          <w:tcPr>
            <w:tcW w:w="1180" w:type="dxa"/>
            <w:vAlign w:val="bottom"/>
            <w:tcBorders>
              <w:bottom w:val="single" w:sz="8" w:color="auto"/>
            </w:tcBorders>
          </w:tcPr>
          <w:p>
            <w:pPr>
              <w:spacing w:after="0"/>
              <w:rPr>
                <w:sz w:val="24"/>
                <w:szCs w:val="24"/>
                <w:color w:val="auto"/>
              </w:rPr>
            </w:pPr>
          </w:p>
        </w:tc>
        <w:tc>
          <w:tcPr>
            <w:tcW w:w="61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w w:val="89"/>
              </w:rPr>
              <w:t>July 15, 2020</w:t>
            </w:r>
          </w:p>
        </w:tc>
      </w:tr>
      <w:tr>
        <w:trPr>
          <w:trHeight w:val="224"/>
        </w:trPr>
        <w:tc>
          <w:tcPr>
            <w:tcW w:w="1800" w:type="dxa"/>
            <w:vAlign w:val="bottom"/>
            <w:gridSpan w:val="2"/>
          </w:tcPr>
          <w:p>
            <w:pPr>
              <w:spacing w:after="0"/>
              <w:rPr>
                <w:sz w:val="20"/>
                <w:szCs w:val="20"/>
                <w:color w:val="auto"/>
              </w:rPr>
            </w:pPr>
            <w:r>
              <w:rPr>
                <w:rFonts w:ascii="Arial" w:cs="Arial" w:eastAsia="Arial" w:hAnsi="Arial"/>
                <w:sz w:val="18"/>
                <w:szCs w:val="18"/>
                <w:color w:val="auto"/>
              </w:rPr>
              <w:t>Joseph G. Flanagan</w:t>
            </w:r>
          </w:p>
        </w:tc>
        <w:tc>
          <w:tcPr>
            <w:tcW w:w="11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18"/>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Helene D. Gayle</w:t>
            </w:r>
          </w:p>
        </w:tc>
        <w:tc>
          <w:tcPr>
            <w:tcW w:w="1180" w:type="dxa"/>
            <w:vAlign w:val="bottom"/>
            <w:tcBorders>
              <w:bottom w:val="single" w:sz="8" w:color="auto"/>
            </w:tcBorders>
          </w:tcPr>
          <w:p>
            <w:pPr>
              <w:spacing w:after="0"/>
              <w:rPr>
                <w:sz w:val="24"/>
                <w:szCs w:val="24"/>
                <w:color w:val="auto"/>
              </w:rPr>
            </w:pPr>
          </w:p>
        </w:tc>
        <w:tc>
          <w:tcPr>
            <w:tcW w:w="61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w w:val="89"/>
              </w:rPr>
              <w:t>July 15, 2020</w:t>
            </w:r>
          </w:p>
        </w:tc>
      </w:tr>
      <w:tr>
        <w:trPr>
          <w:trHeight w:val="224"/>
        </w:trPr>
        <w:tc>
          <w:tcPr>
            <w:tcW w:w="1800" w:type="dxa"/>
            <w:vAlign w:val="bottom"/>
            <w:gridSpan w:val="2"/>
          </w:tcPr>
          <w:p>
            <w:pPr>
              <w:spacing w:after="0"/>
              <w:rPr>
                <w:sz w:val="20"/>
                <w:szCs w:val="20"/>
                <w:color w:val="auto"/>
              </w:rPr>
            </w:pPr>
            <w:r>
              <w:rPr>
                <w:rFonts w:ascii="Arial" w:cs="Arial" w:eastAsia="Arial" w:hAnsi="Arial"/>
                <w:sz w:val="18"/>
                <w:szCs w:val="18"/>
                <w:color w:val="auto"/>
              </w:rPr>
              <w:t>Helene D. Gayle</w:t>
            </w:r>
          </w:p>
        </w:tc>
        <w:tc>
          <w:tcPr>
            <w:tcW w:w="11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ectPr>
          <w:pgSz w:w="11900" w:h="16838" w:orient="portrait"/>
          <w:cols w:equalWidth="0" w:num="1">
            <w:col w:w="10880"/>
          </w:cols>
          <w:pgMar w:left="440" w:top="270" w:right="57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W. Gelber</w:t>
            </w: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760" w:type="dxa"/>
            <w:vAlign w:val="bottom"/>
          </w:tcPr>
          <w:p>
            <w:pPr>
              <w:ind w:left="2780"/>
              <w:spacing w:after="0"/>
              <w:rPr>
                <w:sz w:val="20"/>
                <w:szCs w:val="20"/>
                <w:color w:val="auto"/>
              </w:rPr>
            </w:pPr>
            <w:r>
              <w:rPr>
                <w:rFonts w:ascii="Arial" w:cs="Arial" w:eastAsia="Arial" w:hAnsi="Arial"/>
                <w:sz w:val="18"/>
                <w:szCs w:val="18"/>
                <w:color w:val="auto"/>
                <w:w w:val="89"/>
              </w:rPr>
              <w:t>July 15, 2020</w:t>
            </w:r>
          </w:p>
        </w:tc>
      </w:tr>
      <w:tr>
        <w:trPr>
          <w:trHeight w:val="224"/>
        </w:trPr>
        <w:tc>
          <w:tcPr>
            <w:tcW w:w="2980" w:type="dxa"/>
            <w:vAlign w:val="bottom"/>
          </w:tcPr>
          <w:p>
            <w:pPr>
              <w:spacing w:after="0"/>
              <w:rPr>
                <w:sz w:val="20"/>
                <w:szCs w:val="20"/>
                <w:color w:val="auto"/>
              </w:rPr>
            </w:pPr>
            <w:r>
              <w:rPr>
                <w:rFonts w:ascii="Arial" w:cs="Arial" w:eastAsia="Arial" w:hAnsi="Arial"/>
                <w:sz w:val="18"/>
                <w:szCs w:val="18"/>
                <w:color w:val="auto"/>
              </w:rPr>
              <w:t>Jeremy W. Gelber</w:t>
            </w:r>
          </w:p>
        </w:tc>
        <w:tc>
          <w:tcPr>
            <w:tcW w:w="360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18"/>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Anita V. Pramoda</w:t>
            </w: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760" w:type="dxa"/>
            <w:vAlign w:val="bottom"/>
          </w:tcPr>
          <w:p>
            <w:pPr>
              <w:ind w:left="2780"/>
              <w:spacing w:after="0"/>
              <w:rPr>
                <w:sz w:val="20"/>
                <w:szCs w:val="20"/>
                <w:color w:val="auto"/>
              </w:rPr>
            </w:pPr>
            <w:r>
              <w:rPr>
                <w:rFonts w:ascii="Arial" w:cs="Arial" w:eastAsia="Arial" w:hAnsi="Arial"/>
                <w:sz w:val="18"/>
                <w:szCs w:val="18"/>
                <w:color w:val="auto"/>
                <w:w w:val="89"/>
              </w:rPr>
              <w:t>July 15, 2020</w:t>
            </w:r>
          </w:p>
        </w:tc>
      </w:tr>
      <w:tr>
        <w:trPr>
          <w:trHeight w:val="224"/>
        </w:trPr>
        <w:tc>
          <w:tcPr>
            <w:tcW w:w="2980" w:type="dxa"/>
            <w:vAlign w:val="bottom"/>
          </w:tcPr>
          <w:p>
            <w:pPr>
              <w:spacing w:after="0"/>
              <w:rPr>
                <w:sz w:val="20"/>
                <w:szCs w:val="20"/>
                <w:color w:val="auto"/>
              </w:rPr>
            </w:pPr>
            <w:r>
              <w:rPr>
                <w:rFonts w:ascii="Arial" w:cs="Arial" w:eastAsia="Arial" w:hAnsi="Arial"/>
                <w:sz w:val="18"/>
                <w:szCs w:val="18"/>
                <w:color w:val="auto"/>
              </w:rPr>
              <w:t>Anita V. Pramoda</w:t>
            </w:r>
          </w:p>
        </w:tc>
        <w:tc>
          <w:tcPr>
            <w:tcW w:w="360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18"/>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Miriam A. Tawil</w:t>
            </w: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760" w:type="dxa"/>
            <w:vAlign w:val="bottom"/>
          </w:tcPr>
          <w:p>
            <w:pPr>
              <w:ind w:left="2780"/>
              <w:spacing w:after="0"/>
              <w:rPr>
                <w:sz w:val="20"/>
                <w:szCs w:val="20"/>
                <w:color w:val="auto"/>
              </w:rPr>
            </w:pPr>
            <w:r>
              <w:rPr>
                <w:rFonts w:ascii="Arial" w:cs="Arial" w:eastAsia="Arial" w:hAnsi="Arial"/>
                <w:sz w:val="18"/>
                <w:szCs w:val="18"/>
                <w:color w:val="auto"/>
                <w:w w:val="89"/>
              </w:rPr>
              <w:t>July 15, 2020</w:t>
            </w:r>
          </w:p>
        </w:tc>
      </w:tr>
      <w:tr>
        <w:trPr>
          <w:trHeight w:val="224"/>
        </w:trPr>
        <w:tc>
          <w:tcPr>
            <w:tcW w:w="2980" w:type="dxa"/>
            <w:vAlign w:val="bottom"/>
          </w:tcPr>
          <w:p>
            <w:pPr>
              <w:spacing w:after="0"/>
              <w:rPr>
                <w:sz w:val="20"/>
                <w:szCs w:val="20"/>
                <w:color w:val="auto"/>
              </w:rPr>
            </w:pPr>
            <w:r>
              <w:rPr>
                <w:rFonts w:ascii="Arial" w:cs="Arial" w:eastAsia="Arial" w:hAnsi="Arial"/>
                <w:sz w:val="18"/>
                <w:szCs w:val="18"/>
                <w:color w:val="auto"/>
              </w:rPr>
              <w:t>Miriam A. Tawil</w:t>
            </w:r>
          </w:p>
        </w:tc>
        <w:tc>
          <w:tcPr>
            <w:tcW w:w="360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18"/>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Alexander E. Timm</w:t>
            </w: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760" w:type="dxa"/>
            <w:vAlign w:val="bottom"/>
          </w:tcPr>
          <w:p>
            <w:pPr>
              <w:ind w:left="2780"/>
              <w:spacing w:after="0"/>
              <w:rPr>
                <w:sz w:val="20"/>
                <w:szCs w:val="20"/>
                <w:color w:val="auto"/>
              </w:rPr>
            </w:pPr>
            <w:r>
              <w:rPr>
                <w:rFonts w:ascii="Arial" w:cs="Arial" w:eastAsia="Arial" w:hAnsi="Arial"/>
                <w:sz w:val="18"/>
                <w:szCs w:val="18"/>
                <w:color w:val="auto"/>
                <w:w w:val="89"/>
              </w:rPr>
              <w:t>July 15, 2020</w:t>
            </w:r>
          </w:p>
        </w:tc>
      </w:tr>
      <w:tr>
        <w:trPr>
          <w:trHeight w:val="224"/>
        </w:trPr>
        <w:tc>
          <w:tcPr>
            <w:tcW w:w="2980" w:type="dxa"/>
            <w:vAlign w:val="bottom"/>
          </w:tcPr>
          <w:p>
            <w:pPr>
              <w:spacing w:after="0"/>
              <w:rPr>
                <w:sz w:val="20"/>
                <w:szCs w:val="20"/>
                <w:color w:val="auto"/>
              </w:rPr>
            </w:pPr>
            <w:r>
              <w:rPr>
                <w:rFonts w:ascii="Arial" w:cs="Arial" w:eastAsia="Arial" w:hAnsi="Arial"/>
                <w:sz w:val="18"/>
                <w:szCs w:val="18"/>
                <w:color w:val="auto"/>
              </w:rPr>
              <w:t>Alexander E. Timm</w:t>
            </w:r>
          </w:p>
        </w:tc>
        <w:tc>
          <w:tcPr>
            <w:tcW w:w="3600" w:type="dxa"/>
            <w:vAlign w:val="bottom"/>
          </w:tcPr>
          <w:p>
            <w:pPr>
              <w:spacing w:after="0"/>
              <w:rPr>
                <w:sz w:val="19"/>
                <w:szCs w:val="19"/>
                <w:color w:val="auto"/>
              </w:rPr>
            </w:pPr>
          </w:p>
        </w:tc>
        <w:tc>
          <w:tcPr>
            <w:tcW w:w="3760" w:type="dxa"/>
            <w:vAlign w:val="bottom"/>
          </w:tcPr>
          <w:p>
            <w:pPr>
              <w:spacing w:after="0"/>
              <w:rPr>
                <w:sz w:val="19"/>
                <w:szCs w:val="19"/>
                <w:color w:val="auto"/>
              </w:rPr>
            </w:pPr>
          </w:p>
        </w:tc>
      </w:tr>
    </w:tbl>
    <w:p>
      <w:pPr>
        <w:sectPr>
          <w:pgSz w:w="11900" w:h="16838" w:orient="portrait"/>
          <w:cols w:equalWidth="0" w:num="1">
            <w:col w:w="10340"/>
          </w:cols>
          <w:pgMar w:left="440" w:top="490" w:right="11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4.1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GOHEALTH, INC.</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GoHealth, Inc., a corporation organized and existing under the laws of the State of Delaware, hereby certifies as follows:</w:t>
      </w:r>
    </w:p>
    <w:p>
      <w:pPr>
        <w:spacing w:after="0" w:line="225" w:lineRule="exact"/>
        <w:rPr>
          <w:sz w:val="20"/>
          <w:szCs w:val="20"/>
          <w:color w:val="auto"/>
        </w:rPr>
      </w:pPr>
    </w:p>
    <w:p>
      <w:pPr>
        <w:ind w:right="480" w:firstLine="436"/>
        <w:spacing w:after="0" w:line="277"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original Certificate of Incorporation of the Corporation was filed with the Office of the Secretary of State of the State of Delaware on March 27, 2020 (the “</w:t>
      </w:r>
      <w:r>
        <w:rPr>
          <w:rFonts w:ascii="Arial" w:cs="Arial" w:eastAsia="Arial" w:hAnsi="Arial"/>
          <w:sz w:val="18"/>
          <w:szCs w:val="18"/>
          <w:b w:val="1"/>
          <w:bCs w:val="1"/>
          <w:i w:val="1"/>
          <w:iCs w:val="1"/>
          <w:color w:val="auto"/>
        </w:rPr>
        <w:t>Original Certificate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60" w:firstLine="436"/>
        <w:spacing w:after="0" w:line="259"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Corporation is filing this Amended and Restated Certificate of Incorporation of the Corporation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which restates, integrates and further amends the Original Certificate, as heretofore amended, and which was duly adopted by all necessary action of the board of directors of the Corporation and the stockholders of the Corporation in accordance with the provisions of Sections 242, 245 and 228 of the General Corporation Law of the State of Delaware.</w:t>
      </w:r>
    </w:p>
    <w:p>
      <w:pPr>
        <w:spacing w:after="0" w:line="186" w:lineRule="exact"/>
        <w:rPr>
          <w:rFonts w:ascii="Arial" w:cs="Arial" w:eastAsia="Arial" w:hAnsi="Arial"/>
          <w:sz w:val="18"/>
          <w:szCs w:val="18"/>
          <w:color w:val="auto"/>
        </w:rPr>
      </w:pPr>
    </w:p>
    <w:p>
      <w:pPr>
        <w:ind w:left="620" w:hanging="184"/>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text of the Original Certificate is hereby amended and restated in its entirety to read in full as follows:</w:t>
      </w:r>
    </w:p>
    <w:p>
      <w:pPr>
        <w:spacing w:after="0" w:line="200" w:lineRule="exact"/>
        <w:rPr>
          <w:sz w:val="20"/>
          <w:szCs w:val="20"/>
          <w:color w:val="auto"/>
        </w:rPr>
      </w:pPr>
    </w:p>
    <w:p>
      <w:pPr>
        <w:spacing w:after="0" w:line="23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GoHealth,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251 Little Falls Drive, New Castle County, Wilmington, Delaware, 19808. The name of its registered agent at such address is Corporation Service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The nature of the business of the Corporation and the objects or purposes to be transacted, promoted or carried on by the Corporation is to engage in any lawful act or activity for which corporations may be organized under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including, without limitation, (i) investing in securities of GoHealth Holdings, LLC, a Delaware limited liability company, or any successor entities thereto (“</w:t>
      </w:r>
      <w:r>
        <w:rPr>
          <w:rFonts w:ascii="Arial" w:cs="Arial" w:eastAsia="Arial" w:hAnsi="Arial"/>
          <w:sz w:val="18"/>
          <w:szCs w:val="18"/>
          <w:b w:val="1"/>
          <w:bCs w:val="1"/>
          <w:i w:val="1"/>
          <w:iCs w:val="1"/>
          <w:color w:val="auto"/>
        </w:rPr>
        <w:t>GoHealth LLC</w:t>
      </w:r>
      <w:r>
        <w:rPr>
          <w:rFonts w:ascii="Arial" w:cs="Arial" w:eastAsia="Arial" w:hAnsi="Arial"/>
          <w:sz w:val="18"/>
          <w:szCs w:val="18"/>
          <w:color w:val="auto"/>
        </w:rPr>
        <w:t>”) and any of its subsidiaries, (ii) exercising all rights, powers, privileges and other incidents of ownership or possession with respect to the Corporation’s assets, including managing, holding, selling and disposing of such assets and (iii) engaging in any other activities incidental or ancillary thereto.</w:t>
      </w:r>
    </w:p>
    <w:p>
      <w:pPr>
        <w:sectPr>
          <w:pgSz w:w="11900" w:h="16838" w:orient="portrait"/>
          <w:cols w:equalWidth="0" w:num="1">
            <w:col w:w="11020"/>
          </w:cols>
          <w:pgMar w:left="440" w:top="121" w:right="43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IV.</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Authorized Stock and Recapitalization</w:t>
      </w:r>
      <w:r>
        <w:rPr>
          <w:rFonts w:ascii="Arial" w:cs="Arial" w:eastAsia="Arial" w:hAnsi="Arial"/>
          <w:sz w:val="18"/>
          <w:szCs w:val="18"/>
          <w:color w:val="auto"/>
        </w:rPr>
        <w:t>.</w:t>
      </w:r>
    </w:p>
    <w:p>
      <w:pPr>
        <w:spacing w:after="0" w:line="225" w:lineRule="exact"/>
        <w:rPr>
          <w:sz w:val="20"/>
          <w:szCs w:val="20"/>
          <w:color w:val="auto"/>
        </w:rPr>
      </w:pPr>
    </w:p>
    <w:p>
      <w:pPr>
        <w:ind w:right="320" w:firstLine="987"/>
        <w:spacing w:after="0" w:line="277" w:lineRule="auto"/>
        <w:tabs>
          <w:tab w:leader="none" w:pos="123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Authorized Stock</w:t>
      </w:r>
      <w:r>
        <w:rPr>
          <w:rFonts w:ascii="Arial" w:cs="Arial" w:eastAsia="Arial" w:hAnsi="Arial"/>
          <w:sz w:val="18"/>
          <w:szCs w:val="18"/>
          <w:color w:val="auto"/>
        </w:rPr>
        <w:t>. The total number of shares of all classes of stock that the Corporation is authorized to issue is one billion, eight hundred and ten million (1,810,000,000) shares, consisting of three classes as follows:</w:t>
      </w:r>
    </w:p>
    <w:p>
      <w:pPr>
        <w:spacing w:after="0" w:line="170" w:lineRule="exact"/>
        <w:rPr>
          <w:rFonts w:ascii="Arial" w:cs="Arial" w:eastAsia="Arial" w:hAnsi="Arial"/>
          <w:sz w:val="18"/>
          <w:szCs w:val="18"/>
          <w:color w:val="auto"/>
        </w:rPr>
      </w:pPr>
    </w:p>
    <w:p>
      <w:pPr>
        <w:ind w:right="220" w:firstLine="1428"/>
        <w:spacing w:after="0" w:line="277" w:lineRule="auto"/>
        <w:tabs>
          <w:tab w:leader="none" w:pos="1647" w:val="left"/>
        </w:tabs>
        <w:numPr>
          <w:ilvl w:val="1"/>
          <w:numId w:val="10"/>
        </w:numPr>
        <w:rPr>
          <w:rFonts w:ascii="Arial" w:cs="Arial" w:eastAsia="Arial" w:hAnsi="Arial"/>
          <w:sz w:val="18"/>
          <w:szCs w:val="18"/>
          <w:color w:val="auto"/>
        </w:rPr>
      </w:pPr>
      <w:r>
        <w:rPr>
          <w:rFonts w:ascii="Arial" w:cs="Arial" w:eastAsia="Arial" w:hAnsi="Arial"/>
          <w:sz w:val="18"/>
          <w:szCs w:val="18"/>
          <w:color w:val="auto"/>
        </w:rPr>
        <w:t>One billion, one hundred million (1,100,000,000) shares of Class A common stock, with a par value of $0.0001 per share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700" w:hanging="272"/>
        <w:spacing w:after="0"/>
        <w:tabs>
          <w:tab w:leader="none" w:pos="17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Six hundred ninety million (690,000,000) shares of Class B common stock, with a par value of $0.0001 per share (the “</w:t>
      </w:r>
      <w:r>
        <w:rPr>
          <w:rFonts w:ascii="Arial" w:cs="Arial" w:eastAsia="Arial" w:hAnsi="Arial"/>
          <w:sz w:val="16"/>
          <w:szCs w:val="16"/>
          <w:b w:val="1"/>
          <w:bCs w:val="1"/>
          <w:i w:val="1"/>
          <w:iCs w:val="1"/>
          <w:color w:val="auto"/>
        </w:rPr>
        <w:t>Class B</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w:t>
      </w:r>
    </w:p>
    <w:p>
      <w:pPr>
        <w:spacing w:after="0" w:line="210" w:lineRule="exact"/>
        <w:rPr>
          <w:rFonts w:ascii="Arial" w:cs="Arial" w:eastAsia="Arial" w:hAnsi="Arial"/>
          <w:sz w:val="16"/>
          <w:szCs w:val="16"/>
          <w:color w:val="auto"/>
        </w:rPr>
      </w:pPr>
    </w:p>
    <w:p>
      <w:pPr>
        <w:ind w:left="1740" w:hanging="312"/>
        <w:spacing w:after="0"/>
        <w:tabs>
          <w:tab w:leader="none" w:pos="17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Twenty million (20,000,000) shares of preferred stock, with a par value of $0.0001 per share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right="80" w:firstLine="987"/>
        <w:spacing w:after="0" w:line="254" w:lineRule="auto"/>
        <w:tabs>
          <w:tab w:leader="none" w:pos="124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Recapitalization</w:t>
      </w:r>
      <w:r>
        <w:rPr>
          <w:rFonts w:ascii="Arial" w:cs="Arial" w:eastAsia="Arial" w:hAnsi="Arial"/>
          <w:sz w:val="18"/>
          <w:szCs w:val="18"/>
          <w:color w:val="auto"/>
        </w:rPr>
        <w:t>. Effective upon the filing of this Certificate of Incorporation with the Secretary of State of the State of Delaware, all shares of common stock, par value $0.001 per share, of the Corporation issued and outstanding immediately prior to the filing of this Certificate of Incorporation (the “</w:t>
      </w:r>
      <w:r>
        <w:rPr>
          <w:rFonts w:ascii="Arial" w:cs="Arial" w:eastAsia="Arial" w:hAnsi="Arial"/>
          <w:sz w:val="18"/>
          <w:szCs w:val="18"/>
          <w:b w:val="1"/>
          <w:bCs w:val="1"/>
          <w:i w:val="1"/>
          <w:iCs w:val="1"/>
          <w:color w:val="auto"/>
        </w:rPr>
        <w:t>Existing Common Stock</w:t>
      </w:r>
      <w:r>
        <w:rPr>
          <w:rFonts w:ascii="Arial" w:cs="Arial" w:eastAsia="Arial" w:hAnsi="Arial"/>
          <w:sz w:val="18"/>
          <w:szCs w:val="18"/>
          <w:color w:val="auto"/>
        </w:rPr>
        <w:t>”) shall be recapitalized, reclassified and reconstituted into one (1) fully paid and non-assessable share of Class A Common Stock (as defined below) (the “</w:t>
      </w:r>
      <w:r>
        <w:rPr>
          <w:rFonts w:ascii="Arial" w:cs="Arial" w:eastAsia="Arial" w:hAnsi="Arial"/>
          <w:sz w:val="18"/>
          <w:szCs w:val="18"/>
          <w:b w:val="1"/>
          <w:bCs w:val="1"/>
          <w:i w:val="1"/>
          <w:iCs w:val="1"/>
          <w:color w:val="auto"/>
        </w:rPr>
        <w:t>Recapitalization</w:t>
      </w:r>
      <w:r>
        <w:rPr>
          <w:rFonts w:ascii="Arial" w:cs="Arial" w:eastAsia="Arial" w:hAnsi="Arial"/>
          <w:sz w:val="18"/>
          <w:szCs w:val="18"/>
          <w:color w:val="auto"/>
        </w:rPr>
        <w:t>”). The Recapitalization shall occur automatically without any further action by the holders of Existing Common Stock. The outstanding stock certificate that, immediately prior to the Recapitalization, represented the outstanding Existing Common Shares shall, upon and after the Recapitalization, be deemed to represent one (1) share of Class A Common Stock, without the need for surrender or exchange thereof.</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Preferred Stock</w:t>
      </w:r>
      <w:r>
        <w:rPr>
          <w:rFonts w:ascii="Arial" w:cs="Arial" w:eastAsia="Arial" w:hAnsi="Arial"/>
          <w:sz w:val="17"/>
          <w:szCs w:val="17"/>
          <w:color w:val="auto"/>
        </w:rPr>
        <w:t>. The board of directors of the Corporation (the “</w:t>
      </w:r>
      <w:r>
        <w:rPr>
          <w:rFonts w:ascii="Arial" w:cs="Arial" w:eastAsia="Arial" w:hAnsi="Arial"/>
          <w:sz w:val="17"/>
          <w:szCs w:val="17"/>
          <w:b w:val="1"/>
          <w:bCs w:val="1"/>
          <w:i w:val="1"/>
          <w:iCs w:val="1"/>
          <w:color w:val="auto"/>
        </w:rPr>
        <w:t>Board of Directors</w:t>
      </w:r>
      <w:r>
        <w:rPr>
          <w:rFonts w:ascii="Arial" w:cs="Arial" w:eastAsia="Arial" w:hAnsi="Arial"/>
          <w:sz w:val="17"/>
          <w:szCs w:val="17"/>
          <w:color w:val="auto"/>
        </w:rPr>
        <w:t>”) is authorized, subject to any limitations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prescribed by law or by that certain Stockholders Agreement, dated as of July 15, 2020, by and among the Corporation and the other Persons party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thereto (as such agreement may be further amended, restated, amended and restated, supplemented or otherwise modified from time to time,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Stockholders Agreement</w:t>
      </w:r>
      <w:r>
        <w:rPr>
          <w:rFonts w:ascii="Arial" w:cs="Arial" w:eastAsia="Arial" w:hAnsi="Arial"/>
          <w:sz w:val="16"/>
          <w:szCs w:val="16"/>
          <w:color w:val="auto"/>
        </w:rPr>
        <w:t>”), to provide, out of the unissued shares of Preferred Stock, for the issuance of shares of Preferred Stock in one or more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and by filing a certificate pursuant to the applicable law of the State of Delaware (such certificate being hereinafter referred to as a “</w:t>
      </w:r>
      <w:r>
        <w:rPr>
          <w:rFonts w:ascii="Arial" w:cs="Arial" w:eastAsia="Arial" w:hAnsi="Arial"/>
          <w:sz w:val="16"/>
          <w:szCs w:val="16"/>
          <w:b w:val="1"/>
          <w:bCs w:val="1"/>
          <w:i w:val="1"/>
          <w:iCs w:val="1"/>
          <w:color w:val="auto"/>
        </w:rPr>
        <w:t>Preferred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Designation</w:t>
      </w:r>
      <w:r>
        <w:rPr>
          <w:rFonts w:ascii="Arial" w:cs="Arial" w:eastAsia="Arial" w:hAnsi="Arial"/>
          <w:sz w:val="17"/>
          <w:szCs w:val="17"/>
          <w:color w:val="auto"/>
        </w:rPr>
        <w:t>”), to establish from time to time the number of shares to be included in each such series and to fix the powers, designations,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preferences and relative, participating, optional or other special rights, and qualifications, limitations or restrictions thereof, including, without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limitation, the authority to fix the dividend rights, dividend rates, conversion rights, exchange rights, voting rights, rights and terms of redemption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(including sinking and purchase fund provisions), the redemption price or prices, restrictions on the issuance of shares of such series, the dissolution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preferences and the rights in respect of any distribution of assets of any wholly unissued series of Preferred Stock, or any of them and to increase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the number of shares of any series so created (except where otherwise provided in the Preferred Stock Designation), subsequent to the issue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series but not below the number of shares of such series then outstanding. In case the authorized number of shares of any series shall be 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decreased, the shares constituting such decrease shall resume the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40" w:top="270" w:right="559" w:bottom="1440" w:gutter="0" w:footer="0" w:header="0"/>
        </w:sectPr>
      </w:pPr>
    </w:p>
    <w:bookmarkStart w:id="11" w:name="page12"/>
    <w:bookmarkEnd w:id="11"/>
    <w:p>
      <w:pPr>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status which they had prior to the adoption of the resolution originally fixing the number of shares of such series (except where otherwise provided in the Preferred Stock Designation). There shall be no limitation or restriction on any variation between any of the different series of Preferred Stock as to the designations, preferences and relative, participating, optional or other special rights, and the qualifications, limitations or restrictions thereof; and the several series of Preferred Stock may vary in any and all respects as fixed and determined by the resolution or resolutions of the Board of Directors or by a duly authorized committee of the Board of Directors, providing for the issuance of the various series of Preferred Stock.</w:t>
      </w:r>
    </w:p>
    <w:p>
      <w:pPr>
        <w:spacing w:after="0" w:line="161"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Number of Authorized Shares</w:t>
      </w:r>
      <w:r>
        <w:rPr>
          <w:rFonts w:ascii="Arial" w:cs="Arial" w:eastAsia="Arial" w:hAnsi="Arial"/>
          <w:sz w:val="18"/>
          <w:szCs w:val="18"/>
          <w:color w:val="auto"/>
        </w:rPr>
        <w:t>. Subject to any limitations prescribed by the Stockholders Agreement, the number of authorized shares of any of the Class A Common Stock, Class B Common Stock or Preferred Stock may be increased or decreased (but not below the number of shares thereof then outstanding) by the affirmative vote of the holders of a majority of the voting power of all of the outstanding shares of stock of the Corporation entitled to vote thereon, without a separate vote of any holders of shares of Class A Common Stock, Class B Common Stock or Preferred Stock, or of any series thereof, irrespective of the provisions of Section 242(b)(2) of the DGCL, unless a separate vote of any such holders is required pursuant to the terms of any Preferred Stock Designation.</w:t>
      </w:r>
    </w:p>
    <w:p>
      <w:pPr>
        <w:spacing w:after="0" w:line="192"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Common Stock</w:t>
      </w:r>
      <w:r>
        <w:rPr>
          <w:rFonts w:ascii="Arial" w:cs="Arial" w:eastAsia="Arial" w:hAnsi="Arial"/>
          <w:sz w:val="18"/>
          <w:szCs w:val="18"/>
          <w:color w:val="auto"/>
        </w:rPr>
        <w:t>. The powers, preferences and rights of the Class A Common Stock and the Class B Common Stock, and the qualifications, limitations or restrictions thereof are as follows:</w:t>
      </w:r>
    </w:p>
    <w:p>
      <w:pPr>
        <w:spacing w:after="0" w:line="170" w:lineRule="exact"/>
        <w:rPr>
          <w:sz w:val="20"/>
          <w:szCs w:val="20"/>
          <w:color w:val="auto"/>
        </w:rPr>
      </w:pPr>
    </w:p>
    <w:p>
      <w:pPr>
        <w:ind w:left="1240" w:hanging="25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Except as otherwise required by law,</w:t>
      </w:r>
    </w:p>
    <w:p>
      <w:pPr>
        <w:spacing w:after="0" w:line="225" w:lineRule="exact"/>
        <w:rPr>
          <w:rFonts w:ascii="Arial" w:cs="Arial" w:eastAsia="Arial" w:hAnsi="Arial"/>
          <w:sz w:val="18"/>
          <w:szCs w:val="18"/>
          <w:color w:val="auto"/>
        </w:rPr>
      </w:pPr>
    </w:p>
    <w:p>
      <w:pPr>
        <w:ind w:right="220" w:firstLine="1428"/>
        <w:spacing w:after="0" w:line="263" w:lineRule="auto"/>
        <w:tabs>
          <w:tab w:leader="none" w:pos="1647"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share of Class A Common Stock shall entitle the record holder thereof as of the applicable record date to one (1) vote per share in person or by proxy on all matters submitted to a vote of the holders of Class A Common Stock, whether voting separately as a class or otherwise.</w:t>
      </w:r>
    </w:p>
    <w:p>
      <w:pPr>
        <w:spacing w:after="0" w:line="183" w:lineRule="exact"/>
        <w:rPr>
          <w:rFonts w:ascii="Arial" w:cs="Arial" w:eastAsia="Arial" w:hAnsi="Arial"/>
          <w:sz w:val="18"/>
          <w:szCs w:val="18"/>
          <w:color w:val="auto"/>
        </w:rPr>
      </w:pPr>
    </w:p>
    <w:p>
      <w:pPr>
        <w:ind w:right="160" w:firstLine="1428"/>
        <w:spacing w:after="0" w:line="263" w:lineRule="auto"/>
        <w:tabs>
          <w:tab w:leader="none" w:pos="1697"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share of Class B Common Stock shall entitle the record holder thereof as of the applicable record date to one (1) vote per share in person or by proxy on all matters submitted to a vote of the holders of Class B Common Stock, whether voting separately as a class or otherwise.</w:t>
      </w:r>
    </w:p>
    <w:p>
      <w:pPr>
        <w:spacing w:after="0" w:line="183" w:lineRule="exact"/>
        <w:rPr>
          <w:rFonts w:ascii="Arial" w:cs="Arial" w:eastAsia="Arial" w:hAnsi="Arial"/>
          <w:sz w:val="18"/>
          <w:szCs w:val="18"/>
          <w:color w:val="auto"/>
        </w:rPr>
      </w:pPr>
    </w:p>
    <w:p>
      <w:pPr>
        <w:ind w:right="200" w:firstLine="1428"/>
        <w:spacing w:after="0" w:line="259" w:lineRule="auto"/>
        <w:tabs>
          <w:tab w:leader="none" w:pos="1747"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Except as otherwise required in this Certificate of Incorporation, the holders of shares of Class A Common Stock and Class B Common Stock shall vote together as a single class (or, if any holders of shares of Preferred Stock are entitled to vote together with the holders of Class A Common Stock and Class B Common Stock, as a single class with such holders of Preferred Stock) on all matters submitted to a vote of stockholders of the Corporation.</w:t>
      </w:r>
    </w:p>
    <w:p>
      <w:pPr>
        <w:spacing w:after="0" w:line="186" w:lineRule="exact"/>
        <w:rPr>
          <w:rFonts w:ascii="Arial" w:cs="Arial" w:eastAsia="Arial" w:hAnsi="Arial"/>
          <w:sz w:val="18"/>
          <w:szCs w:val="18"/>
          <w:color w:val="auto"/>
        </w:rPr>
      </w:pPr>
    </w:p>
    <w:p>
      <w:pPr>
        <w:ind w:firstLine="987"/>
        <w:spacing w:after="0" w:line="279" w:lineRule="auto"/>
        <w:tabs>
          <w:tab w:leader="none" w:pos="1246"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Dividends and Distributions</w:t>
      </w:r>
      <w:r>
        <w:rPr>
          <w:rFonts w:ascii="Arial" w:cs="Arial" w:eastAsia="Arial" w:hAnsi="Arial"/>
          <w:sz w:val="17"/>
          <w:szCs w:val="17"/>
          <w:color w:val="auto"/>
        </w:rPr>
        <w:t>. Subject to applicable law and the rights, if any, of the holders of any outstanding series of Preferred Stock or any class or series of stock having a preference over or the right to participate with the Class A Common Stock with respect to the payment of dividends, dividends may be declared and paid on the Class A Common Stock out of the assets or funds of the Corporation that are by law available therefor, at such times and in such amounts as the Board of Directors in its discretion shall determine. Other than in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2" w:name="page13"/>
    <w:bookmarkEnd w:id="12"/>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connection with a dividend declared by the Board of Directors in connection with a “poison pill” or similar stockholder rights plan, dividends shall not be declared or paid on the Class B Common Stock and the holders of shares of Class B Common Stock shall have no right to receive dividends in respect of such shares of Class B Common Stock.</w:t>
      </w:r>
    </w:p>
    <w:p>
      <w:pPr>
        <w:spacing w:after="0" w:line="184" w:lineRule="exact"/>
        <w:rPr>
          <w:sz w:val="20"/>
          <w:szCs w:val="20"/>
          <w:color w:val="auto"/>
        </w:rPr>
      </w:pPr>
    </w:p>
    <w:p>
      <w:pPr>
        <w:ind w:right="20" w:firstLine="987"/>
        <w:spacing w:after="0" w:line="269" w:lineRule="auto"/>
        <w:tabs>
          <w:tab w:leader="none" w:pos="1236"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Liquidation Rights</w:t>
      </w:r>
      <w:r>
        <w:rPr>
          <w:rFonts w:ascii="Arial" w:cs="Arial" w:eastAsia="Arial" w:hAnsi="Arial"/>
          <w:sz w:val="17"/>
          <w:szCs w:val="17"/>
          <w:color w:val="auto"/>
        </w:rPr>
        <w:t xml:space="preserve">. In the event of liquidation, dissolution or winding up of the affairs of the Corporation, whether voluntary or involuntary, after payment or provision for payment of the debts and other liabilities of the Corporation and after making provisions for preferential and other amounts, if any, to which the holders of Preferred Stock or any class or series of stock having a preference over or the right to participate with the Class A Common Stock with respect to payments in liquidation shall be entitled, the remaining assets and funds of the Corporation available for distribution shall be divided among and paid ratably to the holders of all outstanding shares of Class A Common Stock and Class B Common Stock in proportion to the number of shares held by each such stockholder;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holders of shares of Class B Common Stock shall be entitled to receive $0.0001 per share, and upon receiving such amount, the holders of shares of Class B Common Stock, as such, shall not be entitled to receive any other assets or funds of the Corporation. A consolidation, reorganization or merger of the Corporation with any other Person or Persons (as defined below), or a sale of all or substantially all of the assets of the Corporation, shall not be considered to be a dissolution, liquidation or winding up of the Corporation within the meaning of this </w:t>
      </w:r>
      <w:r>
        <w:rPr>
          <w:rFonts w:ascii="Arial" w:cs="Arial" w:eastAsia="Arial" w:hAnsi="Arial"/>
          <w:sz w:val="17"/>
          <w:szCs w:val="17"/>
          <w:u w:val="single" w:color="auto"/>
          <w:color w:val="auto"/>
        </w:rPr>
        <w:t>Section 4.4(c)</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left="1240" w:hanging="253"/>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Class B Common Stock</w:t>
      </w:r>
      <w:r>
        <w:rPr>
          <w:rFonts w:ascii="Arial" w:cs="Arial" w:eastAsia="Arial" w:hAnsi="Arial"/>
          <w:sz w:val="18"/>
          <w:szCs w:val="18"/>
          <w:color w:val="auto"/>
        </w:rPr>
        <w:t>.</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(i) From and after the effectiveness of this Certificate of Incorporation with the Secretary of State of the State of Delaware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Time</w:t>
      </w:r>
      <w:r>
        <w:rPr>
          <w:rFonts w:ascii="Arial" w:cs="Arial" w:eastAsia="Arial" w:hAnsi="Arial"/>
          <w:sz w:val="16"/>
          <w:szCs w:val="16"/>
          <w:color w:val="auto"/>
        </w:rPr>
        <w:t>”), shares of Class B Common Stock may be issued only to, and registered only in the name of, the Existing Owners (as defined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their respective successors and assigns as well as their Permitted Transferees (as defined below) in accordance with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(including all subsequent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successors, assigns and Permitted Transferees) (the Existing Owners together with such Persons, collectively, the “</w:t>
      </w:r>
      <w:r>
        <w:rPr>
          <w:rFonts w:ascii="Arial" w:cs="Arial" w:eastAsia="Arial" w:hAnsi="Arial"/>
          <w:sz w:val="16"/>
          <w:szCs w:val="16"/>
          <w:b w:val="1"/>
          <w:bCs w:val="1"/>
          <w:i w:val="1"/>
          <w:iCs w:val="1"/>
          <w:color w:val="auto"/>
        </w:rPr>
        <w:t>Permitted Class B Owners</w:t>
      </w:r>
      <w:r>
        <w:rPr>
          <w:rFonts w:ascii="Arial" w:cs="Arial" w:eastAsia="Arial" w:hAnsi="Arial"/>
          <w:sz w:val="16"/>
          <w:szCs w:val="16"/>
          <w:color w:val="auto"/>
        </w:rPr>
        <w:t>”)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number of shares of Class B Common Stock at any time registered in the name of each such Permitted Class B Owner must be equal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number of Common Units (as defined below) held of record at such time by such Permitted Class B Owner under the LLC Agreement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defined below). As used in this Certificate of Incorporation, (A) “</w:t>
      </w:r>
      <w:r>
        <w:rPr>
          <w:rFonts w:ascii="Arial" w:cs="Arial" w:eastAsia="Arial" w:hAnsi="Arial"/>
          <w:sz w:val="17"/>
          <w:szCs w:val="17"/>
          <w:b w:val="1"/>
          <w:bCs w:val="1"/>
          <w:i w:val="1"/>
          <w:iCs w:val="1"/>
          <w:color w:val="auto"/>
        </w:rPr>
        <w:t>Existing Owner</w:t>
      </w:r>
      <w:r>
        <w:rPr>
          <w:rFonts w:ascii="Arial" w:cs="Arial" w:eastAsia="Arial" w:hAnsi="Arial"/>
          <w:sz w:val="17"/>
          <w:szCs w:val="17"/>
          <w:color w:val="auto"/>
        </w:rPr>
        <w:t>” means each of the holders of Common Units (other than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of GoHealth LLC, as set forth on Schedule 1 of the LLC Agreement (as defined below) (as such Schedule 1 may be amended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in accordance with the LLC Agreement), (B) “</w:t>
      </w:r>
      <w:r>
        <w:rPr>
          <w:rFonts w:ascii="Arial" w:cs="Arial" w:eastAsia="Arial" w:hAnsi="Arial"/>
          <w:sz w:val="16"/>
          <w:szCs w:val="16"/>
          <w:b w:val="1"/>
          <w:bCs w:val="1"/>
          <w:i w:val="1"/>
          <w:iCs w:val="1"/>
          <w:color w:val="auto"/>
        </w:rPr>
        <w:t>Common Unit</w:t>
      </w:r>
      <w:r>
        <w:rPr>
          <w:rFonts w:ascii="Arial" w:cs="Arial" w:eastAsia="Arial" w:hAnsi="Arial"/>
          <w:sz w:val="16"/>
          <w:szCs w:val="16"/>
          <w:color w:val="auto"/>
        </w:rPr>
        <w:t>” means a membership interest in GoHealth LLC, authorized and issued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Amended and Restated Limited Liability Company Agreement of GoHealth LLC, dated as of the date hereof, as such agreement may be further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amended, restated, amended and restated, supplemented or otherwise modified from time to time (the “</w:t>
      </w:r>
      <w:r>
        <w:rPr>
          <w:rFonts w:ascii="Arial" w:cs="Arial" w:eastAsia="Arial" w:hAnsi="Arial"/>
          <w:sz w:val="16"/>
          <w:szCs w:val="16"/>
          <w:b w:val="1"/>
          <w:bCs w:val="1"/>
          <w:i w:val="1"/>
          <w:iCs w:val="1"/>
          <w:color w:val="auto"/>
        </w:rPr>
        <w:t>LLC Agreement</w:t>
      </w:r>
      <w:r>
        <w:rPr>
          <w:rFonts w:ascii="Arial" w:cs="Arial" w:eastAsia="Arial" w:hAnsi="Arial"/>
          <w:sz w:val="16"/>
          <w:szCs w:val="16"/>
          <w:color w:val="auto"/>
        </w:rPr>
        <w:t>”), and constituting a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 as defined in such LLC Agreement and (C) “</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has the meaning given to it in the LLC Agreement.</w:t>
      </w:r>
    </w:p>
    <w:p>
      <w:pPr>
        <w:spacing w:after="0" w:line="211" w:lineRule="exact"/>
        <w:rPr>
          <w:sz w:val="20"/>
          <w:szCs w:val="20"/>
          <w:color w:val="auto"/>
        </w:rPr>
      </w:pPr>
    </w:p>
    <w:p>
      <w:pPr>
        <w:ind w:firstLine="1428"/>
        <w:spacing w:after="0" w:line="259" w:lineRule="auto"/>
        <w:tabs>
          <w:tab w:leader="none" w:pos="16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Corporation shall, to the fullest extent permitted by law, undertake all necessary and appropriate action to ensure that the number of shares of Class B Common Stock issued by the Corporation at any time to, or otherwise held of record by, any Permitted Class B Owner shall be equal to the aggregate number of Common Units held of record by such Permitted Class B Owner in accordance with the terms of the LLC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3" w:name="page14"/>
    <w:bookmarkEnd w:id="13"/>
    <w:p>
      <w:pPr>
        <w:ind w:left="-100" w:firstLine="1428"/>
        <w:spacing w:after="0" w:line="301" w:lineRule="auto"/>
        <w:tabs>
          <w:tab w:leader="none" w:pos="1647"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event that there is a merger, consolidation or Change of Control (as defined below) of the Corporation that was approved by the Board of Directors prior to such merger, consolidation or Change of Control, then the holders of shares of Class B Common Stock shall not be entitled to receive more than $0.0001 per share of Class B Common Stock, whether in the form of consideration for such shares or in the form of a distribution of the proceeds of a sale of all or substantially all of the assets of the Corporation with respect to such shares.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Transfer of Class B Common Stock</w:t>
      </w:r>
      <w:r>
        <w:rPr>
          <w:rFonts w:ascii="Arial" w:cs="Arial" w:eastAsia="Arial" w:hAnsi="Arial"/>
          <w:sz w:val="18"/>
          <w:szCs w:val="18"/>
          <w:color w:val="auto"/>
        </w:rPr>
        <w:t>.</w:t>
      </w:r>
    </w:p>
    <w:p>
      <w:pPr>
        <w:spacing w:after="0" w:line="225" w:lineRule="exact"/>
        <w:rPr>
          <w:sz w:val="20"/>
          <w:szCs w:val="20"/>
          <w:color w:val="auto"/>
        </w:rPr>
      </w:pPr>
    </w:p>
    <w:p>
      <w:pPr>
        <w:ind w:left="-100" w:right="520" w:firstLine="987"/>
        <w:spacing w:after="0" w:line="311" w:lineRule="auto"/>
        <w:tabs>
          <w:tab w:leader="none" w:pos="1136"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holder of Class B Common Stock may surrender shares of Class B Common Stock to the Corporation for cancellation for no consideration at any time. Following the surrender, or other acquisition, of any shares of Class B Common Stock to or by the Corporation, the Corporation will take all actions necessary to cancel and retire such shares and such shares shall not be re-issued by the Corporation.</w:t>
      </w:r>
    </w:p>
    <w:p>
      <w:pPr>
        <w:spacing w:after="0" w:line="148" w:lineRule="exact"/>
        <w:rPr>
          <w:rFonts w:ascii="Arial" w:cs="Arial" w:eastAsia="Arial" w:hAnsi="Arial"/>
          <w:sz w:val="16"/>
          <w:szCs w:val="16"/>
          <w:color w:val="auto"/>
        </w:rPr>
      </w:pPr>
    </w:p>
    <w:p>
      <w:pPr>
        <w:jc w:val="both"/>
        <w:ind w:left="-100" w:right="20" w:firstLine="987"/>
        <w:spacing w:after="0" w:line="279" w:lineRule="auto"/>
        <w:tabs>
          <w:tab w:leader="none" w:pos="1146"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4.5(a)</w:t>
      </w:r>
      <w:r>
        <w:rPr>
          <w:rFonts w:ascii="Arial" w:cs="Arial" w:eastAsia="Arial" w:hAnsi="Arial"/>
          <w:sz w:val="17"/>
          <w:szCs w:val="17"/>
          <w:color w:val="auto"/>
        </w:rPr>
        <w:t xml:space="preserve">, a holder of Class B Common Stock may transfer or assign shares of Class B Common Stock (or any legal or beneficial interest in such shares) (directly or indirectly, including by operation of law) only to a Permitted Transferee of such holder, and only if such holder also simultaneously transfers an equal number of such holder’s Common Units to such Permitted Transferee in compliance with the LLC Agreement. The transfer restrictions described in this </w:t>
      </w:r>
      <w:r>
        <w:rPr>
          <w:rFonts w:ascii="Arial" w:cs="Arial" w:eastAsia="Arial" w:hAnsi="Arial"/>
          <w:sz w:val="17"/>
          <w:szCs w:val="17"/>
          <w:u w:val="single" w:color="auto"/>
          <w:color w:val="auto"/>
        </w:rPr>
        <w:t>Section 4.5(b)</w:t>
      </w:r>
      <w:r>
        <w:rPr>
          <w:rFonts w:ascii="Arial" w:cs="Arial" w:eastAsia="Arial" w:hAnsi="Arial"/>
          <w:sz w:val="17"/>
          <w:szCs w:val="17"/>
          <w:color w:val="auto"/>
        </w:rPr>
        <w:t xml:space="preserve"> are referred to as the “</w:t>
      </w:r>
      <w:r>
        <w:rPr>
          <w:rFonts w:ascii="Arial" w:cs="Arial" w:eastAsia="Arial" w:hAnsi="Arial"/>
          <w:sz w:val="17"/>
          <w:szCs w:val="17"/>
          <w:b w:val="1"/>
          <w:bCs w:val="1"/>
          <w:i w:val="1"/>
          <w:iCs w:val="1"/>
          <w:color w:val="auto"/>
        </w:rPr>
        <w:t>Restrictions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00" w:right="80" w:firstLine="987"/>
        <w:spacing w:after="0" w:line="291" w:lineRule="auto"/>
        <w:tabs>
          <w:tab w:leader="none" w:pos="1136"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purported transfer of shares of Class B Common Stock in violation of the Restrictions shall be null and void. If, notwithstanding the Restrictions, a Person shall, voluntarily or involuntarily, purportedly become or attempt to become, the purported owner (“</w:t>
      </w:r>
      <w:r>
        <w:rPr>
          <w:rFonts w:ascii="Arial" w:cs="Arial" w:eastAsia="Arial" w:hAnsi="Arial"/>
          <w:sz w:val="16"/>
          <w:szCs w:val="16"/>
          <w:b w:val="1"/>
          <w:bCs w:val="1"/>
          <w:i w:val="1"/>
          <w:iCs w:val="1"/>
          <w:color w:val="auto"/>
        </w:rPr>
        <w:t>Purported Owner</w:t>
      </w:r>
      <w:r>
        <w:rPr>
          <w:rFonts w:ascii="Arial" w:cs="Arial" w:eastAsia="Arial" w:hAnsi="Arial"/>
          <w:sz w:val="16"/>
          <w:szCs w:val="16"/>
          <w:color w:val="auto"/>
        </w:rPr>
        <w:t>”) of shares of Class B Common Stock in violation of the Restrictions, then the Purported Owner shall not obtain any rights in, to or with respect to such shares of Class B Common Stock (the “</w:t>
      </w:r>
      <w:r>
        <w:rPr>
          <w:rFonts w:ascii="Arial" w:cs="Arial" w:eastAsia="Arial" w:hAnsi="Arial"/>
          <w:sz w:val="16"/>
          <w:szCs w:val="16"/>
          <w:b w:val="1"/>
          <w:bCs w:val="1"/>
          <w:i w:val="1"/>
          <w:iCs w:val="1"/>
          <w:color w:val="auto"/>
        </w:rPr>
        <w:t>Restricted Shares</w:t>
      </w:r>
      <w:r>
        <w:rPr>
          <w:rFonts w:ascii="Arial" w:cs="Arial" w:eastAsia="Arial" w:hAnsi="Arial"/>
          <w:sz w:val="16"/>
          <w:szCs w:val="16"/>
          <w:color w:val="auto"/>
        </w:rPr>
        <w:t>”), and the purported transfer of the Restricted Shares to the Purported Owner shall not be recognized by the Corporation, the Corporation’s transfer agent (the “</w:t>
      </w:r>
      <w:r>
        <w:rPr>
          <w:rFonts w:ascii="Arial" w:cs="Arial" w:eastAsia="Arial" w:hAnsi="Arial"/>
          <w:sz w:val="16"/>
          <w:szCs w:val="16"/>
          <w:b w:val="1"/>
          <w:bCs w:val="1"/>
          <w:i w:val="1"/>
          <w:iCs w:val="1"/>
          <w:color w:val="auto"/>
        </w:rPr>
        <w:t>Transfer Agent</w:t>
      </w:r>
      <w:r>
        <w:rPr>
          <w:rFonts w:ascii="Arial" w:cs="Arial" w:eastAsia="Arial" w:hAnsi="Arial"/>
          <w:sz w:val="16"/>
          <w:szCs w:val="16"/>
          <w:color w:val="auto"/>
        </w:rPr>
        <w:t>”) or the Secretary of the Corporation and each Restricted Share shall, to the fullest extent permitted by law, automatically, without any further action on the part of the Corporation, the holder thereof, the Purported Owner or any other party, lose all voting rights as set forth herein and become a non-voting share.</w:t>
      </w:r>
    </w:p>
    <w:p>
      <w:pPr>
        <w:spacing w:after="0" w:line="166" w:lineRule="exact"/>
        <w:rPr>
          <w:rFonts w:ascii="Arial" w:cs="Arial" w:eastAsia="Arial" w:hAnsi="Arial"/>
          <w:sz w:val="16"/>
          <w:szCs w:val="16"/>
          <w:color w:val="auto"/>
        </w:rPr>
      </w:pPr>
    </w:p>
    <w:p>
      <w:pPr>
        <w:ind w:left="-100" w:firstLine="987"/>
        <w:spacing w:after="0" w:line="257" w:lineRule="auto"/>
        <w:tabs>
          <w:tab w:leader="none" w:pos="11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a determination by the Board of Directors that a Person has attempted or may attempt to transfer or to acquire Restricted Shares in violation of the Restrictions, the Corporation may take such action as it deems advisable to refuse to give effect to such transfer or acquisition on the books and records of the Corporation, including without limitation to cause the Transfer Agent or the Secretary of the Corporation, as applicable, to not record the Purported Owner as the record owner of the Restricted Shares, and to institute proceedings to enjoin or rescind any such transfer or acquisition.</w:t>
      </w:r>
    </w:p>
    <w:p>
      <w:pPr>
        <w:spacing w:after="0" w:line="187" w:lineRule="exact"/>
        <w:rPr>
          <w:rFonts w:ascii="Arial" w:cs="Arial" w:eastAsia="Arial" w:hAnsi="Arial"/>
          <w:sz w:val="18"/>
          <w:szCs w:val="18"/>
          <w:color w:val="auto"/>
        </w:rPr>
      </w:pPr>
    </w:p>
    <w:p>
      <w:pPr>
        <w:ind w:left="-100" w:right="520" w:firstLine="987"/>
        <w:spacing w:after="0" w:line="277" w:lineRule="auto"/>
        <w:tabs>
          <w:tab w:leader="none" w:pos="11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of Directors may, to the extent permitted by law, from time to time establish, modify, amend or rescind, by bylaw or otherwise, regulations and procedures not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00"/>
          </w:cols>
          <w:pgMar w:left="540" w:top="274" w:right="559" w:bottom="1440" w:gutter="0" w:footer="0" w:header="0"/>
        </w:sectPr>
      </w:pPr>
    </w:p>
    <w:bookmarkStart w:id="14" w:name="page15"/>
    <w:bookmarkEnd w:id="1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inconsistent with the provisions of this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for determining whether any transfer or acquisition of shares of Class B Common Stock would violate the Restrictions and for the orderly application, administration and implementation of the provisions of this </w:t>
      </w:r>
      <w:r>
        <w:rPr>
          <w:rFonts w:ascii="Arial" w:cs="Arial" w:eastAsia="Arial" w:hAnsi="Arial"/>
          <w:sz w:val="18"/>
          <w:szCs w:val="18"/>
          <w:u w:val="single" w:color="auto"/>
          <w:color w:val="auto"/>
        </w:rPr>
        <w:t>Section 4.5</w:t>
      </w:r>
      <w:r>
        <w:rPr>
          <w:rFonts w:ascii="Arial" w:cs="Arial" w:eastAsia="Arial" w:hAnsi="Arial"/>
          <w:sz w:val="18"/>
          <w:szCs w:val="18"/>
          <w:color w:val="auto"/>
        </w:rPr>
        <w:t>. Any such procedures and regulations shall be kept on file with the Secretary of the Corporation and with the Transfer Agent and shall be made available for inspection by and, upon written request shall be mailed to, holders of shares of Class B Common Stock.</w:t>
      </w:r>
    </w:p>
    <w:p>
      <w:pPr>
        <w:spacing w:after="0" w:line="187"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Certificates</w:t>
      </w:r>
      <w:r>
        <w:rPr>
          <w:rFonts w:ascii="Arial" w:cs="Arial" w:eastAsia="Arial" w:hAnsi="Arial"/>
          <w:sz w:val="18"/>
          <w:szCs w:val="18"/>
          <w:color w:val="auto"/>
        </w:rPr>
        <w:t>. All certificates or book entries representing shares of Class B Common Stock shall bear a legend substantially in the following form (or in such other form as the Board of Directors may determine):</w:t>
      </w:r>
    </w:p>
    <w:p>
      <w:pPr>
        <w:spacing w:after="0" w:line="62" w:lineRule="exact"/>
        <w:rPr>
          <w:sz w:val="20"/>
          <w:szCs w:val="20"/>
          <w:color w:val="auto"/>
        </w:rPr>
      </w:pPr>
    </w:p>
    <w:p>
      <w:pPr>
        <w:ind w:left="980" w:right="1240"/>
        <w:spacing w:after="0" w:line="275" w:lineRule="auto"/>
        <w:rPr>
          <w:sz w:val="20"/>
          <w:szCs w:val="20"/>
          <w:color w:val="auto"/>
        </w:rPr>
      </w:pPr>
      <w:r>
        <w:rPr>
          <w:rFonts w:ascii="Arial" w:cs="Arial" w:eastAsia="Arial" w:hAnsi="Arial"/>
          <w:sz w:val="17"/>
          <w:szCs w:val="17"/>
          <w:color w:val="auto"/>
        </w:rPr>
        <w:t>THE SECURITIES REPRESENTED BY THIS [CERTIFICATE][BOOK ENTRY] ARE SUBJECT TO THE RESTRICTIONS (INCLUDING RESTRICTIONS ON TRANSFER) SET FORTH IN THE AMENDED AND RESTATED CERTIFICATE OF INCORPORATION OF THE CORPORATION AS IT MAY BE AMENDED AND/OR RESTATED (A COPY OF WHICH IS ON FILE WITH THE SECRETARY OF THE CORPORATION AND SHALL BE PROVIDED FREE OF CHARGE TO ANY STOCKHOLDER MAKING A REQUEST THEREFOR).</w:t>
      </w:r>
    </w:p>
    <w:p>
      <w:pPr>
        <w:spacing w:after="0" w:line="176"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Fractions</w:t>
      </w:r>
      <w:r>
        <w:rPr>
          <w:rFonts w:ascii="Arial" w:cs="Arial" w:eastAsia="Arial" w:hAnsi="Arial"/>
          <w:sz w:val="17"/>
          <w:szCs w:val="17"/>
          <w:color w:val="auto"/>
        </w:rPr>
        <w:t>. Class A Common Stock and Class B Common Stock may be issued and transferred in fractions of a share which shall entitle the holder to exercise fractional voting rights and to have the benefit of all other rights of holders of Class A Common Stock and Class B Common Stock, as applicable. Subject to the Restrictions, holders of shares of Class A Common Stock and Class B Common Stock shall be entitled to transfer fractions thereof and the Corporation shall, and shall cause the Transfer Agent to, facilitate any such transfers, including by issuing certificates or making book entries representing any such fractional shares. For all purposes of this Certificate of Incorporation, all references to Class A Common Stock and Class B Common Stock or any share thereof (whether in the singular or plural) shall be deemed to include references to any fraction of a share of such Class A Common Stock or Class B Common Stock.</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Except as otherwise required by law, holders of Class A Common Stock and Class B Common Stock shall not be entitled to vote on any amendment to this Certificate of Incorporation (including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Preferred Stock Designation).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Corporation shall at all times reserve and keep available out of its authorized but unissued shares or other securities at least as many shares or other securities equal to the number of Common Units held by the holders of Common Units (other than the Corporation and any direct or indirect majority-owned subsidiary of the Corporation).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w:t>
      </w:r>
    </w:p>
    <w:p>
      <w:pPr>
        <w:spacing w:after="0" w:line="229"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Subject to any limitations prescribed by the Stockholders Agreement, the Bylaws of the Corporation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may be altered, amended or repealed, and new bylaws made, by the affirmative vote of a majority of the Whole Board of Directors. Notwithstanding anything to the contrary contained in this Certificate of Incorporation or any provision of law which might otherwise permit a lesser vote of the stockholders, and subject to any limitations prescribed by the Stockholders Agreement, at any time when Centerbridge beneficially owns, in the aggregate, less than forty percent (40%) in voting power of the stock of the Corporation entitled to vote generally in the election of directors, in addition to any vote of the holders of any class or series of capital stock of the Corporation required by any provision of this Certificate of Incorporation (including any Preferred Stock Designation), the Bylaws or applicable law, the affirmative vote of at least sixty-six and two-thirds percent (66 2/3%) of the voting power of all of the outstanding voting stock of the Corporation entitled to vote, voting together as a single class, shall be required in order for the stockholders of the Corporation to alter, amend, repeal or rescind, in whole or in part, any provision of the Bylaws or to adopt any provision inconsistent therewith. For purposes of this Certificate of Incorporation, the term “</w:t>
      </w:r>
      <w:r>
        <w:rPr>
          <w:rFonts w:ascii="Arial" w:cs="Arial" w:eastAsia="Arial" w:hAnsi="Arial"/>
          <w:sz w:val="17"/>
          <w:szCs w:val="17"/>
          <w:b w:val="1"/>
          <w:bCs w:val="1"/>
          <w:i w:val="1"/>
          <w:iCs w:val="1"/>
          <w:color w:val="auto"/>
        </w:rPr>
        <w:t>Whole Board of Directors</w:t>
      </w:r>
      <w:r>
        <w:rPr>
          <w:rFonts w:ascii="Arial" w:cs="Arial" w:eastAsia="Arial" w:hAnsi="Arial"/>
          <w:sz w:val="17"/>
          <w:szCs w:val="17"/>
          <w:color w:val="auto"/>
        </w:rPr>
        <w:t>” shall mean the total number of authorized directors (from time to time) whether or not there exist any vacancies in previously authorized directorships.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Ballot</w:t>
      </w:r>
      <w:r>
        <w:rPr>
          <w:rFonts w:ascii="Arial" w:cs="Arial" w:eastAsia="Arial" w:hAnsi="Arial"/>
          <w:sz w:val="18"/>
          <w:szCs w:val="18"/>
          <w:color w:val="auto"/>
        </w:rPr>
        <w:t>. Elections of directors (each such director, in such capacity, a “</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need not be by written ballot unless the Bylaws shall so provide.</w:t>
      </w:r>
    </w:p>
    <w:p>
      <w:pPr>
        <w:spacing w:after="0" w:line="170"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Number and Terms of the Board of Directors</w:t>
      </w:r>
      <w:r>
        <w:rPr>
          <w:rFonts w:ascii="Arial" w:cs="Arial" w:eastAsia="Arial" w:hAnsi="Arial"/>
          <w:sz w:val="18"/>
          <w:szCs w:val="18"/>
          <w:color w:val="auto"/>
        </w:rPr>
        <w:t xml:space="preserve">. Subject to the rights of the holders of any series of Preferred Stock to elect directors under specified circumstances and the terms of the Stockholders Agreement, the number of Directors shall be fixed from time to time exclusively by a majority of the Whole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that for as long as the Stockholders Agreement is in effect, the number of Directors shall never be less than the aggregate number of Directors that the parties to the Stockholders Agreement are entitled to designate from time to time pursuant to Section 1 thereof.</w:t>
      </w:r>
    </w:p>
    <w:p>
      <w:pPr>
        <w:spacing w:after="0" w:line="188"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Newly Created Directorships and Vacancies</w:t>
      </w:r>
      <w:r>
        <w:rPr>
          <w:rFonts w:ascii="Arial" w:cs="Arial" w:eastAsia="Arial" w:hAnsi="Arial"/>
          <w:sz w:val="16"/>
          <w:szCs w:val="16"/>
          <w:color w:val="auto"/>
        </w:rPr>
        <w:t>. Except as otherwise required by law and the separate rights of the holders of any series of Preferred Stock then outstanding, unless the Board of Directors otherwise determines, newly created directorships resulting from any increase in the authorized number of directors or any vacancies on the Board of Directors resulting from the death, resignation, disqualification, removal from office or other cause shall be filled (x) for so long as the Stockholders Agreement remains in effect, only by a majority vote of the Directors then in office, though less than a quorum, or by a sole remaining Director entitled to vote thereon, or by the vote of the stockholders entitled to vote thereon and (y) at any time when the Stockholders Agreement is no longer in effect, only by a majority of the Directors then in office, though less than a quorum, or by a sole remaining Director entitled to vote thereon, and not by the stockholders. Subject to the Stockholders Agreement, any Director so chosen shall hold office until the next election of the class for which such Director shall have been chosen and until his successor shall be elected and qualified.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16" w:name="page17"/>
    <w:bookmarkEnd w:id="16"/>
    <w:p>
      <w:pPr>
        <w:ind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7.4 </w:t>
      </w:r>
      <w:r>
        <w:rPr>
          <w:rFonts w:ascii="Arial" w:cs="Arial" w:eastAsia="Arial" w:hAnsi="Arial"/>
          <w:sz w:val="16"/>
          <w:szCs w:val="16"/>
          <w:u w:val="single" w:color="auto"/>
          <w:color w:val="auto"/>
        </w:rPr>
        <w:t>Removal for Cause</w:t>
      </w:r>
      <w:r>
        <w:rPr>
          <w:rFonts w:ascii="Arial" w:cs="Arial" w:eastAsia="Arial" w:hAnsi="Arial"/>
          <w:sz w:val="16"/>
          <w:szCs w:val="16"/>
          <w:color w:val="auto"/>
        </w:rPr>
        <w:t>. Subject to the rights of the holders of any series of Preferred Stock then outstanding, for as long as this Certificate of Incorporation provides for a classified Board of Directors, any Director, or the entire Board of Directors, may otherwise be removed only for cause by an affirmative vote of at least sixty-six and two-thirds percent (66 2/3%) of the voting power of all the outstanding shares of stock entitled to vote generally in the election of directors, at a meeting duly called for that purpose. Notwithstanding the foregoing, the directors appointed pursuant to the Stockholders Agreement may be removed with or without cause in accordance with the terms thereof and the requirements of the DGCL.</w:t>
      </w:r>
    </w:p>
    <w:p>
      <w:pPr>
        <w:spacing w:after="0" w:line="161"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Classified Board</w:t>
      </w:r>
      <w:r>
        <w:rPr>
          <w:rFonts w:ascii="Arial" w:cs="Arial" w:eastAsia="Arial" w:hAnsi="Arial"/>
          <w:sz w:val="16"/>
          <w:szCs w:val="16"/>
          <w:color w:val="auto"/>
        </w:rPr>
        <w:t xml:space="preserve">. At the Effective Time, the Directors shall be classified, with respect to the time for which they shall hold their respective offices, by dividing them into three (3) classes, with each Director then in office to be designated as a Class I Director, a Class II Director or a Class III Director, with each class to be apportioned as nearly equal in number as possible. Directors shall be assigned to each class in accordance with a resolution or resolutions adopted by the Board of Directors. The initial Class I Directors shall serve for a term expiring at the first annual meeting of stockholders of the Corporation following the Effective Time; the initial Class II Directors shall serve for a term expiring at the second annual meeting of stockholders following the Effective Time; and the initial Class III Directors shall serve for a term expiring at the third annual meeting of stockholders following the Effective Time. At each annual meeting of stockholders beginning with the first annual meeting of stockholders following the Effective Time, the successors of the class of Directors whose term expires at that meeting shall be elected to hold office for a term expiring at the third annual meeting of stockholders to be held following their election, with each Director in each such class to hold office until his or her successor is duly elected and qualified, subject to such Director’s earlier death, resignation or removal in accordance with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of this Amended and Restated Certificate of Incorporation. Subject to the Stockholders Agreement, the Board of Directors is authorized to assign each Director already in office at the Effective Time, as well as each Director elected or appointed to a newly created directorship due to an increase in the size of the Board of Directors, to Class I, Class II or Class III;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class assignments for the initial directors designated for nomination and elected to the Board of Directors pursuant to the Stockholders Agreement shall be as set forth in Section 3 of the Stockholders Agreement. Without limitation to the rights of the stockholders party to the Stockholders Agreement, the provisions of this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are subject to the rights of the holders of any class or series of Preferred Stock to elect directors and such directors need not serve classified terms.</w:t>
      </w:r>
    </w:p>
    <w:p>
      <w:pPr>
        <w:spacing w:after="0" w:line="176"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Notice</w:t>
      </w:r>
      <w:r>
        <w:rPr>
          <w:rFonts w:ascii="Arial" w:cs="Arial" w:eastAsia="Arial" w:hAnsi="Arial"/>
          <w:sz w:val="18"/>
          <w:szCs w:val="18"/>
          <w:color w:val="auto"/>
        </w:rPr>
        <w:t>. Advance notice of stockholder nominations for election of Directors and other business to be brought by stockholders before a meeting of stockholders shall be given in the manner provided by the Bylaws.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At any time when Centerbridge beneficially owns, in the aggregate, at least forty percent (40%) in voting power of the Corporation entitled to vote generally in the election of directors, any action required or permitted to be taken at any annual or special meeting of stockholders may be taken without a meeting, without prior notice and without a vote, if a consent or consents in writing, setting forth the action so taken, are (1) signed by the holders of outstanding shares of the relevant class(es) or series of stock of the Corporation representing not less than the minimum</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7" w:name="page18"/>
    <w:bookmarkEnd w:id="17"/>
    <w:p>
      <w:pPr>
        <w:ind w:left="4"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number of votes that would be necessary to authorize or take such action at a meeting at which all shares of stock of the Corporation then issued and outstanding (other than treasury stock) entitled to vote thereon were present and voted, and (2) delivered to the Corporation in accordance with applicable law. At any time when Centerbridge beneficially owns, in the aggregate, less than forty percent (40%) in voting power of the Corporation entitled to vote generally in the election of directors, any action required or permitted to be taken at any annual or special meeting of stockholders must be effected at a duly called annual or special meeting of such holders and may not be effected by written consent in lieu of a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Preferred Stock Designation.</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left="4" w:right="100" w:firstLine="440"/>
        <w:spacing w:after="0" w:line="285" w:lineRule="auto"/>
        <w:rPr>
          <w:sz w:val="20"/>
          <w:szCs w:val="20"/>
          <w:color w:val="auto"/>
        </w:rPr>
      </w:pPr>
      <w:r>
        <w:rPr>
          <w:rFonts w:ascii="Arial" w:cs="Arial" w:eastAsia="Arial" w:hAnsi="Arial"/>
          <w:sz w:val="16"/>
          <w:szCs w:val="16"/>
          <w:color w:val="auto"/>
        </w:rPr>
        <w:t xml:space="preserve">Subject to any limitations prescribed by the Stockholders Agreement, the Corporation reserves the right to amend, alter, change or repeal any provision contained in this Certificate of Incorporation, in the manner now or hereafter prescribed by statute, and all rights conferred upon stockholders herein are granted subject to this reservation;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(x) that any amendment (including by merger, consolidation or otherwise) to this Certificate of Incorporation that gives holders of the Class B Common Stock (i) any rights to receive dividends or any other kind of distribution other than in connection with a dissolution or liquidation pursuant to </w:t>
      </w:r>
      <w:r>
        <w:rPr>
          <w:rFonts w:ascii="Arial" w:cs="Arial" w:eastAsia="Arial" w:hAnsi="Arial"/>
          <w:sz w:val="16"/>
          <w:szCs w:val="16"/>
          <w:u w:val="single" w:color="auto"/>
          <w:color w:val="auto"/>
        </w:rPr>
        <w:t>Section 4.4(c)</w:t>
      </w:r>
      <w:r>
        <w:rPr>
          <w:rFonts w:ascii="Arial" w:cs="Arial" w:eastAsia="Arial" w:hAnsi="Arial"/>
          <w:sz w:val="16"/>
          <w:szCs w:val="16"/>
          <w:color w:val="auto"/>
        </w:rPr>
        <w:t>, (ii) any right to convert into or be exchanged for Class A Common Stock or</w:t>
      </w:r>
    </w:p>
    <w:p>
      <w:pPr>
        <w:spacing w:after="0" w:line="2" w:lineRule="exact"/>
        <w:rPr>
          <w:sz w:val="20"/>
          <w:szCs w:val="20"/>
          <w:color w:val="auto"/>
        </w:rPr>
      </w:pPr>
    </w:p>
    <w:p>
      <w:pPr>
        <w:ind w:left="4" w:hanging="4"/>
        <w:spacing w:after="0" w:line="268" w:lineRule="auto"/>
        <w:tabs>
          <w:tab w:leader="none" w:pos="319"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any other economic rights shall, in addition to the affirmative vote of at least a majority of the voting power of all of the outstanding voting stock of the Corporation entitled to vote, also require the affirmative vote of a majority of shares of Class A Common Stock voting separately as a class and (y) at any time when Centerbridge beneficially owns, in the aggregate, less than forty percent (40%) in voting power of the stock of the Corporation entitled to vote generally in the election of directors, in addition to any vote of the holders of any class or series of capital stock of the Corporation required by any provision of this Certificate of Incorporation (including any Preferred Stock Designation) or applicable law, but subject to </w:t>
      </w:r>
      <w:r>
        <w:rPr>
          <w:rFonts w:ascii="Arial" w:cs="Arial" w:eastAsia="Arial" w:hAnsi="Arial"/>
          <w:sz w:val="17"/>
          <w:szCs w:val="17"/>
          <w:u w:val="single" w:color="auto"/>
          <w:color w:val="auto"/>
        </w:rPr>
        <w:t>Section 4.8</w:t>
      </w:r>
      <w:r>
        <w:rPr>
          <w:rFonts w:ascii="Arial" w:cs="Arial" w:eastAsia="Arial" w:hAnsi="Arial"/>
          <w:sz w:val="17"/>
          <w:szCs w:val="17"/>
          <w:color w:val="auto"/>
        </w:rPr>
        <w:t>, the affirmative vote of at least sixty-six and two-thirds percent (66 2/3%) of the voting power of all of the outstanding voting stock of the Corporation entitled to vote, voting together as a single class, shall be required in order for the stockholders of the Corporation to alter, amend, repeal or rescind, in whole or in part, any provision of this Certificate of Incorporation or to adopt any provision inconsistent therewith.</w:t>
      </w:r>
    </w:p>
    <w:p>
      <w:pPr>
        <w:spacing w:after="0" w:line="39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left="4" w:right="100" w:firstLine="440"/>
        <w:spacing w:after="0" w:line="273" w:lineRule="auto"/>
        <w:rPr>
          <w:sz w:val="20"/>
          <w:szCs w:val="20"/>
          <w:color w:val="auto"/>
        </w:rPr>
      </w:pPr>
      <w:r>
        <w:rPr>
          <w:rFonts w:ascii="Arial" w:cs="Arial" w:eastAsia="Arial" w:hAnsi="Arial"/>
          <w:sz w:val="17"/>
          <w:szCs w:val="17"/>
          <w:color w:val="auto"/>
        </w:rPr>
        <w:t xml:space="preserve">The Corporation is authorized to indemnify, and to advance expenses to, each current or former Director, officer, employee or agent of the Corporation to the fullest extent permitted by Section 145 of the DGCL as it presently exists or may hereafter be amended. To the fullest extent permitted by the laws of the State of Delaware as it exists on the date hereof or as it may hereafter be amended, no Director shall be personally liable to the Corporation or its stockholders for monetary damages for any breach of his or her fiduciary duties as a director. No amendment to, or modification or repeal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adversely affect any right or protection of a Director or of any officer, employee or agent of the Corporation existing hereunder with respect to any act or omission occurring prior to such amendment, modification or repeal.</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Corporate Opportunity</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68" w:lineRule="auto"/>
        <w:tabs>
          <w:tab w:leader="none" w:pos="12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the fullest extent permitted by the laws of the State of Delaware and in accordance with Section 122(17) of the DGCL, (i) the Corporation hereby renounces all interest and expectancy that it otherwise would be entitled to have in, and all rights to be offered an opportunity to participate in, any business opportunity that from time to time may be presented to Centerbridge or its Affiliates (other than the Corporation and its subsidiaries), and any of its or their respective principals, members, directors, partners, stockholders, officers, employees or other representatives (other than any such Person who is also an employee of the Corporation or its subsidiaries), or any Director or stockholder who is not employed by the Corporation or its subsidiaries (each such Person, an “</w:t>
      </w:r>
      <w:r>
        <w:rPr>
          <w:rFonts w:ascii="Arial" w:cs="Arial" w:eastAsia="Arial" w:hAnsi="Arial"/>
          <w:sz w:val="17"/>
          <w:szCs w:val="17"/>
          <w:b w:val="1"/>
          <w:bCs w:val="1"/>
          <w:i w:val="1"/>
          <w:iCs w:val="1"/>
          <w:color w:val="auto"/>
        </w:rPr>
        <w:t>Exempt Person</w:t>
      </w:r>
      <w:r>
        <w:rPr>
          <w:rFonts w:ascii="Arial" w:cs="Arial" w:eastAsia="Arial" w:hAnsi="Arial"/>
          <w:sz w:val="17"/>
          <w:szCs w:val="17"/>
          <w:color w:val="auto"/>
        </w:rPr>
        <w:t xml:space="preserve">”); (ii) no Exempt Person will have any duty to refrain from (1) engaging in a corporate opportunity in the same or similar lines of business in which the Corporation or its subsidiaries from time to time is engaged or proposes to engage or (2) otherwise competing, directly or indirectly, with the Corporation or any of its subsidiaries; and (iii) if any Exempt Person acquires knowledge of a potential transaction or other business opportunity which may be a corporate opportunity both for such Exempt Person or any of his or her respective Affiliates, on the one hand, and for the Corporation or its subsidiaries, on the other hand, such Exempt Person shall have no duty to communicate or offer such transaction or business opportunity to the Corporation or its subsidiaries and such Exempt Person may take any and all such transactions or opportunities for itself or offer such transactions or opportunities to any other Person. Notwithstanding the foregoing, the preceding sentence of this </w:t>
      </w:r>
      <w:r>
        <w:rPr>
          <w:rFonts w:ascii="Arial" w:cs="Arial" w:eastAsia="Arial" w:hAnsi="Arial"/>
          <w:sz w:val="17"/>
          <w:szCs w:val="17"/>
          <w:u w:val="single" w:color="auto"/>
          <w:color w:val="auto"/>
        </w:rPr>
        <w:t>Section 11.1(a)</w:t>
      </w:r>
      <w:r>
        <w:rPr>
          <w:rFonts w:ascii="Arial" w:cs="Arial" w:eastAsia="Arial" w:hAnsi="Arial"/>
          <w:sz w:val="17"/>
          <w:szCs w:val="17"/>
          <w:color w:val="auto"/>
        </w:rPr>
        <w:t xml:space="preserve"> shall not apply to any potential transaction or business opportunity that is expressly offered to a Director, executive officer or employee of the Corporation or its subsidiaries, solely in his or her capacity as a Director, executive officer or employee of the Corporation or its subsidiaries.</w:t>
      </w:r>
    </w:p>
    <w:p>
      <w:pPr>
        <w:spacing w:after="0" w:line="181" w:lineRule="exact"/>
        <w:rPr>
          <w:rFonts w:ascii="Arial" w:cs="Arial" w:eastAsia="Arial" w:hAnsi="Arial"/>
          <w:sz w:val="17"/>
          <w:szCs w:val="17"/>
          <w:color w:val="auto"/>
        </w:rPr>
      </w:pPr>
    </w:p>
    <w:p>
      <w:pPr>
        <w:ind w:right="20" w:firstLine="987"/>
        <w:spacing w:after="0" w:line="293" w:lineRule="auto"/>
        <w:tabs>
          <w:tab w:leader="none" w:pos="1246"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the fullest extent permitted by the laws of the State of Delaware, no potential transaction or business opportunity may be deemed to be a corporate opportunity of the Corporation or its subsidiaries unless (i) the Corporation or its subsidiaries would be permitted to undertake such transaction or opportunity in accordance with this Certificate of Incorporation, (ii) the Corporation or its subsidiaries at such time have sufficient financial resources to undertake such transaction or opportunity, (iii) the Corporation or its subsidiaries have an interest or expectancy in such transaction or opportunity and (iv) such transaction or opportunity would be in the same or similar line of business in which the Corporation or its subsidiaries are then engaged or a line of business that is reasonably related to, or a reasonable extension of, such line of business.</w:t>
      </w:r>
    </w:p>
    <w:p>
      <w:pPr>
        <w:spacing w:after="0" w:line="16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Liability</w:t>
      </w:r>
      <w:r>
        <w:rPr>
          <w:rFonts w:ascii="Arial" w:cs="Arial" w:eastAsia="Arial" w:hAnsi="Arial"/>
          <w:sz w:val="18"/>
          <w:szCs w:val="18"/>
          <w:color w:val="auto"/>
        </w:rPr>
        <w:t xml:space="preserve">. To the fullest extent permitted by law, no stockholder and no Director will be liable to the Corporation or its subsidiaries or stockholders for breach of any duty solely by reason of any activities or omissions of the types referred to in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except to the extent such actions or omissions are in breach of this </w:t>
      </w:r>
      <w:r>
        <w:rPr>
          <w:rFonts w:ascii="Arial" w:cs="Arial" w:eastAsia="Arial" w:hAnsi="Arial"/>
          <w:sz w:val="18"/>
          <w:szCs w:val="18"/>
          <w:u w:val="single" w:color="auto"/>
          <w:color w:val="auto"/>
        </w:rPr>
        <w:t>Article XI</w:t>
      </w:r>
      <w:r>
        <w:rPr>
          <w:rFonts w:ascii="Arial" w:cs="Arial" w:eastAsia="Arial" w:hAnsi="Arial"/>
          <w:sz w:val="18"/>
          <w:szCs w:val="18"/>
          <w:color w:val="auto"/>
        </w:rPr>
        <w:t>.</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Unless the Corporation consents in writing to the selection of an alternative forum, (a) (i) any derivative action or proceeding brought on behalf of the Corporation, (ii) any action asserting a claim of breach of a fiduciary duty owed by any current or former director, officer, other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0" w:right="499" w:bottom="1440" w:gutter="0" w:footer="0" w:header="0"/>
        </w:sectPr>
      </w:pPr>
    </w:p>
    <w:bookmarkStart w:id="19" w:name="page20"/>
    <w:bookmarkEnd w:id="1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employee or stockholder of the Company to the Company or the Company’s stockholders (iii) any action asserting a claim arising pursuant to any provision of the DGCL, this Certificate of Incorporation, the Bylaws or as to which the DGCL confers exclusive jurisdiction on the Court of Chancery of the State of Delaware (the “</w:t>
      </w:r>
      <w:r>
        <w:rPr>
          <w:rFonts w:ascii="Arial" w:cs="Arial" w:eastAsia="Arial" w:hAnsi="Arial"/>
          <w:sz w:val="16"/>
          <w:szCs w:val="16"/>
          <w:b w:val="1"/>
          <w:bCs w:val="1"/>
          <w:i w:val="1"/>
          <w:iCs w:val="1"/>
          <w:color w:val="auto"/>
        </w:rPr>
        <w:t>Court of Chancery</w:t>
      </w:r>
      <w:r>
        <w:rPr>
          <w:rFonts w:ascii="Arial" w:cs="Arial" w:eastAsia="Arial" w:hAnsi="Arial"/>
          <w:sz w:val="16"/>
          <w:szCs w:val="16"/>
          <w:color w:val="auto"/>
        </w:rPr>
        <w:t>”), or (iv) any action asserting a claim governed by the internal affairs doctrine, be exclusively brought in the Court of Chancery of the State of Delaware or, if such court does not have subject matter jurisdiction thereof, the federal district court of the State of Delaware; and (b) the federal district courts of the United States (the “</w:t>
      </w:r>
      <w:r>
        <w:rPr>
          <w:rFonts w:ascii="Arial" w:cs="Arial" w:eastAsia="Arial" w:hAnsi="Arial"/>
          <w:sz w:val="16"/>
          <w:szCs w:val="16"/>
          <w:b w:val="1"/>
          <w:bCs w:val="1"/>
          <w:i w:val="1"/>
          <w:iCs w:val="1"/>
          <w:color w:val="auto"/>
        </w:rPr>
        <w:t>Federal Courts</w:t>
      </w:r>
      <w:r>
        <w:rPr>
          <w:rFonts w:ascii="Arial" w:cs="Arial" w:eastAsia="Arial" w:hAnsi="Arial"/>
          <w:sz w:val="16"/>
          <w:szCs w:val="16"/>
          <w:color w:val="auto"/>
        </w:rPr>
        <w:t xml:space="preserve">”) shall be the exclusive forum for the resolution of any complaint asserting a cause of action arising under the Securities Act of 1933, as amended. If any action, the subject matter of which is within the scope of the first sentence of this </w:t>
      </w:r>
      <w:r>
        <w:rPr>
          <w:rFonts w:ascii="Arial" w:cs="Arial" w:eastAsia="Arial" w:hAnsi="Arial"/>
          <w:sz w:val="16"/>
          <w:szCs w:val="16"/>
          <w:u w:val="single" w:color="auto"/>
          <w:color w:val="auto"/>
        </w:rPr>
        <w:t>Article XII</w:t>
      </w:r>
      <w:r>
        <w:rPr>
          <w:rFonts w:ascii="Arial" w:cs="Arial" w:eastAsia="Arial" w:hAnsi="Arial"/>
          <w:sz w:val="16"/>
          <w:szCs w:val="16"/>
          <w:color w:val="auto"/>
        </w:rPr>
        <w:t>, is filed in a court other than the Court of Chancery or the Federal Courts, as applicable, (a “</w:t>
      </w:r>
      <w:r>
        <w:rPr>
          <w:rFonts w:ascii="Arial" w:cs="Arial" w:eastAsia="Arial" w:hAnsi="Arial"/>
          <w:sz w:val="16"/>
          <w:szCs w:val="16"/>
          <w:b w:val="1"/>
          <w:bCs w:val="1"/>
          <w:i w:val="1"/>
          <w:iCs w:val="1"/>
          <w:color w:val="auto"/>
        </w:rPr>
        <w:t>Foreign Action</w:t>
      </w:r>
      <w:r>
        <w:rPr>
          <w:rFonts w:ascii="Arial" w:cs="Arial" w:eastAsia="Arial" w:hAnsi="Arial"/>
          <w:sz w:val="16"/>
          <w:szCs w:val="16"/>
          <w:color w:val="auto"/>
        </w:rPr>
        <w:t xml:space="preserve">”) in the name of any stockholder, such stockholder shall be deemed to have consented to (i) the personal jurisdiction of the Court of Chancery or the Federal Courts, as applicable, in connection with any action brought in any such court to enforce the first sentence of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and (ii) having service of process made upon such stockholder in any such action by service upon such stockholder’s counsel in the Foreign Action as agent for such stockholder. To the fullest extent permitted by law, any Person purchasing or otherwise acquiring or holding any interest in shares of capital stock of the Corporation shall be deemed to have notice of and consented to the provisions of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Notwithstanding the foregoing,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shall not apply to claims seeking to enforce any liability or duty created by the Securities Exchange Act of 1934, as amended.</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XIII.</w:t>
      </w:r>
    </w:p>
    <w:p>
      <w:pPr>
        <w:spacing w:after="0" w:line="229"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Section 203 of the DGCL</w:t>
      </w:r>
      <w:r>
        <w:rPr>
          <w:rFonts w:ascii="Arial" w:cs="Arial" w:eastAsia="Arial" w:hAnsi="Arial"/>
          <w:sz w:val="18"/>
          <w:szCs w:val="18"/>
          <w:color w:val="auto"/>
        </w:rPr>
        <w:t>. The Corporation expressly elects not to be governed by Section 203 of the DGCL and the restrictions and limitations set forth therein.</w:t>
      </w:r>
    </w:p>
    <w:p>
      <w:pPr>
        <w:spacing w:after="0" w:line="170"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 xml:space="preserve">Section 13.2 </w:t>
      </w:r>
      <w:r>
        <w:rPr>
          <w:rFonts w:ascii="Arial" w:cs="Arial" w:eastAsia="Arial" w:hAnsi="Arial"/>
          <w:sz w:val="17"/>
          <w:szCs w:val="17"/>
          <w:u w:val="single" w:color="auto"/>
          <w:color w:val="auto"/>
        </w:rPr>
        <w:t>Interested Stockholder Transactions</w:t>
      </w:r>
      <w:r>
        <w:rPr>
          <w:rFonts w:ascii="Arial" w:cs="Arial" w:eastAsia="Arial" w:hAnsi="Arial"/>
          <w:sz w:val="17"/>
          <w:szCs w:val="17"/>
          <w:color w:val="auto"/>
        </w:rPr>
        <w:t>. Notwithstanding anything to the contrary set forth in this Certificate of Incorporation, the Corporation shall not engage in any Business Combination (as defined below) at any point in time at which the Corporation’s Class A Common Stock and Class B Common Stock is registered under Section 12(b) or 12(g) of the Exchange Act with any Interested Stockholder (as defined below) for a period of three (3) years following the time that such stockholder became an Interested Stockholder, unless:</w:t>
      </w:r>
    </w:p>
    <w:p>
      <w:pPr>
        <w:spacing w:after="0" w:line="171" w:lineRule="exact"/>
        <w:rPr>
          <w:sz w:val="20"/>
          <w:szCs w:val="20"/>
          <w:color w:val="auto"/>
        </w:rPr>
      </w:pPr>
    </w:p>
    <w:p>
      <w:pPr>
        <w:ind w:right="600" w:firstLine="987"/>
        <w:spacing w:after="0" w:line="277" w:lineRule="auto"/>
        <w:tabs>
          <w:tab w:leader="none" w:pos="12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to such time that such stockholder became an Interested Stockholder, the Board of Directors approved either the Business Combination or the transaction which resulted in such stockholder becoming an Interested Stockholder; or</w:t>
      </w:r>
    </w:p>
    <w:p>
      <w:pPr>
        <w:spacing w:after="0" w:line="170" w:lineRule="exact"/>
        <w:rPr>
          <w:rFonts w:ascii="Arial" w:cs="Arial" w:eastAsia="Arial" w:hAnsi="Arial"/>
          <w:sz w:val="18"/>
          <w:szCs w:val="18"/>
          <w:color w:val="auto"/>
        </w:rPr>
      </w:pPr>
    </w:p>
    <w:p>
      <w:pPr>
        <w:ind w:right="20" w:firstLine="987"/>
        <w:spacing w:after="0" w:line="275" w:lineRule="auto"/>
        <w:tabs>
          <w:tab w:leader="none" w:pos="1246" w:val="left"/>
        </w:tabs>
        <w:numPr>
          <w:ilvl w:val="0"/>
          <w:numId w:val="18"/>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20" w:name="page21"/>
    <w:bookmarkEnd w:id="20"/>
    <w:p>
      <w:pPr>
        <w:ind w:right="80" w:firstLine="987"/>
        <w:spacing w:after="0" w:line="311" w:lineRule="auto"/>
        <w:tabs>
          <w:tab w:leader="none" w:pos="1236"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or subsequent to such time that such stockholder became an Interested Stockholder, the Business Combination is approved by the Board of Directors and authorized at an annual or special meeting of stockholders by the affirmative vote of at least sixty-six and two-thirds percent (66 2/3%) of the voting power of the outstanding shares of capital stock of the Corporation which is not owned by such Interested Stockholder.</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Certificate of Incorporation, the following terms shall have the following meaning:</w:t>
      </w:r>
    </w:p>
    <w:p>
      <w:pPr>
        <w:spacing w:after="0" w:line="225" w:lineRule="exact"/>
        <w:rPr>
          <w:sz w:val="20"/>
          <w:szCs w:val="20"/>
          <w:color w:val="auto"/>
        </w:rPr>
      </w:pPr>
    </w:p>
    <w:p>
      <w:pPr>
        <w:ind w:right="460" w:firstLine="987"/>
        <w:spacing w:after="0" w:line="277" w:lineRule="auto"/>
        <w:tabs>
          <w:tab w:leader="none" w:pos="12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0" w:lineRule="exact"/>
        <w:rPr>
          <w:rFonts w:ascii="Arial" w:cs="Arial" w:eastAsia="Arial" w:hAnsi="Arial"/>
          <w:sz w:val="18"/>
          <w:szCs w:val="18"/>
          <w:color w:val="auto"/>
        </w:rPr>
      </w:pPr>
    </w:p>
    <w:p>
      <w:pPr>
        <w:ind w:firstLine="987"/>
        <w:spacing w:after="0" w:line="257" w:lineRule="auto"/>
        <w:tabs>
          <w:tab w:leader="none" w:pos="12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Associate</w:t>
      </w:r>
      <w:r>
        <w:rPr>
          <w:rFonts w:ascii="Arial" w:cs="Arial" w:eastAsia="Arial" w:hAnsi="Arial"/>
          <w:sz w:val="18"/>
          <w:szCs w:val="18"/>
          <w:color w:val="auto"/>
        </w:rPr>
        <w:t>”, when used to indicate a relationship with any Person, means: (i) any corporation, partnership, unincorporated association or other entity of which such Person is a director, officer or partner or is, directly or indirectly, the owner of twenty percent (20%) or more of any class of shares of voting stock of the Corporation; (ii) any trust or other estate in which such Person has at least a twenty percent (20%) beneficial interest or as to which such Person serves as trustee or in a similar fiduciary capacity; and (iii) any relative or spouse of such Person, or any relative of such spouse, who has the same residence as such Person.</w:t>
      </w:r>
    </w:p>
    <w:p>
      <w:pPr>
        <w:spacing w:after="0" w:line="187" w:lineRule="exact"/>
        <w:rPr>
          <w:rFonts w:ascii="Arial" w:cs="Arial" w:eastAsia="Arial" w:hAnsi="Arial"/>
          <w:sz w:val="18"/>
          <w:szCs w:val="18"/>
          <w:color w:val="auto"/>
        </w:rPr>
      </w:pPr>
    </w:p>
    <w:p>
      <w:pPr>
        <w:ind w:right="60" w:firstLine="987"/>
        <w:spacing w:after="0" w:line="273" w:lineRule="auto"/>
        <w:tabs>
          <w:tab w:leader="none" w:pos="12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means (i) any merger or consolidation of the Corporation or any direct or indirect majority-owned subsidiary of the Corporation with the Interested Stockholder or (ii) 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shares of capital stock of the Corporation.</w:t>
      </w:r>
    </w:p>
    <w:p>
      <w:pPr>
        <w:spacing w:after="0" w:line="177" w:lineRule="exact"/>
        <w:rPr>
          <w:rFonts w:ascii="Arial" w:cs="Arial" w:eastAsia="Arial" w:hAnsi="Arial"/>
          <w:sz w:val="17"/>
          <w:szCs w:val="17"/>
          <w:color w:val="auto"/>
        </w:rPr>
      </w:pPr>
    </w:p>
    <w:p>
      <w:pPr>
        <w:ind w:right="60" w:firstLine="987"/>
        <w:spacing w:after="0" w:line="342" w:lineRule="auto"/>
        <w:tabs>
          <w:tab w:leader="none" w:pos="1246"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Centerbridge</w:t>
      </w:r>
      <w:r>
        <w:rPr>
          <w:rFonts w:ascii="Arial" w:cs="Arial" w:eastAsia="Arial" w:hAnsi="Arial"/>
          <w:sz w:val="16"/>
          <w:szCs w:val="16"/>
          <w:color w:val="auto"/>
        </w:rPr>
        <w:t>” means Centerbridge Capital Partners III, L.P., a Delaware limited partnership, certain of its Affiliates and any Centerbridge Party (as defined in the Stockholders Agreement) and its and their successors and assigns (other than the Corporation and its subsidiaries).</w:t>
      </w:r>
    </w:p>
    <w:p>
      <w:pPr>
        <w:spacing w:after="0" w:line="123" w:lineRule="exact"/>
        <w:rPr>
          <w:rFonts w:ascii="Arial" w:cs="Arial" w:eastAsia="Arial" w:hAnsi="Arial"/>
          <w:sz w:val="16"/>
          <w:szCs w:val="16"/>
          <w:color w:val="auto"/>
        </w:rPr>
      </w:pPr>
    </w:p>
    <w:p>
      <w:pPr>
        <w:ind w:left="1240" w:hanging="253"/>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Centerbridge Related Parties</w:t>
      </w:r>
      <w:r>
        <w:rPr>
          <w:rFonts w:ascii="Arial" w:cs="Arial" w:eastAsia="Arial" w:hAnsi="Arial"/>
          <w:sz w:val="18"/>
          <w:szCs w:val="18"/>
          <w:color w:val="auto"/>
        </w:rPr>
        <w:t>” means Centerbridge and its Permitted Transferees.</w:t>
      </w:r>
    </w:p>
    <w:p>
      <w:pPr>
        <w:spacing w:after="0" w:line="225" w:lineRule="exact"/>
        <w:rPr>
          <w:rFonts w:ascii="Arial" w:cs="Arial" w:eastAsia="Arial" w:hAnsi="Arial"/>
          <w:sz w:val="18"/>
          <w:szCs w:val="18"/>
          <w:color w:val="auto"/>
        </w:rPr>
      </w:pPr>
    </w:p>
    <w:p>
      <w:pPr>
        <w:ind w:right="40" w:firstLine="987"/>
        <w:spacing w:after="0" w:line="255" w:lineRule="auto"/>
        <w:tabs>
          <w:tab w:leader="none" w:pos="121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of any of the following events: (1) any “person” or “group” (within the meaning of Sections 13(d) and 14(d) of the Exchange Act, but excluding any employee benefit plan of such person and its subsidiaries, and any person or entity acting in its capacity as trustee, agent or other fiduciary or administrator of any such plan) becomes the “beneficial owner” (within the meaning of Rules 13d-3 and 13d-5 under the Exchange Act), directly or indirectly, of shares of Class A Common Stock, Class B Common Stock, Preferred Stock and/or any other class or classes of capital stock of the Corporation (if any) representing in the aggregate more than fifty percent (50%) of the voting power of all of the outstanding shares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1" w:name="page22"/>
    <w:bookmarkEnd w:id="21"/>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capital stock of the Corporation entitled to vote; (2) the stockholders of the Corporation approve a plan of complete liquidation or dissolution of the Corporation or there is consummated a transaction or series of related transactions for the sale, lease, exchange or other disposition, directly or indirectly, by the Corporation of all or substantially all of the Corporation’s assets (including a sale of all or substantially all of the assets of GoHealth LLC); (3) there is consummated a merger or consolidation of the Corporation with any other corporation or entity, and, immediately after the consummation of such merger or consolidation, the voting securities of the Corporation immediately prior to such merger or consolidation do not continue to represent, or are not converted into, voting securities representing more than fifty percent (50%) of the combined voting power of the outstanding voting securities of the Person resulting from such merger or consolidation or, if the surviving company is a subsidiary, the ultimate parent thereof; or (4) the Corporation ceases to be the sole managing member of GoHealth LLC;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“Change of Control” shall not be deemed to have occurred by virtue of the consummation of any transaction or series of related transactions immediately following which the beneficial owners of the Class A Common Stock, Class B Common Stock, Preferred Stock and/or any other class or classes of capital stock of the Corporation immediately prior to such transaction or series of transactions continue to have substantially the same proportionate ownership in and voting control over, and own substantially all of the shares of, an entity which owns all or substantially all of the assets of the Corporation immediately following such transaction or series of transactions.</w:t>
      </w:r>
    </w:p>
    <w:p>
      <w:pPr>
        <w:spacing w:after="0" w:line="186" w:lineRule="exact"/>
        <w:rPr>
          <w:sz w:val="20"/>
          <w:szCs w:val="20"/>
          <w:color w:val="auto"/>
        </w:rPr>
      </w:pPr>
    </w:p>
    <w:p>
      <w:pPr>
        <w:ind w:right="80" w:firstLine="987"/>
        <w:spacing w:after="0" w:line="254" w:lineRule="auto"/>
        <w:tabs>
          <w:tab w:leader="none" w:pos="12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including the terms “</w:t>
      </w:r>
      <w:r>
        <w:rPr>
          <w:rFonts w:ascii="Arial" w:cs="Arial" w:eastAsia="Arial" w:hAnsi="Arial"/>
          <w:sz w:val="18"/>
          <w:szCs w:val="18"/>
          <w:b w:val="1"/>
          <w:bCs w:val="1"/>
          <w:i w:val="1"/>
          <w:iCs w:val="1"/>
          <w:color w:val="auto"/>
        </w:rPr>
        <w:t>controlling</w:t>
      </w:r>
      <w:r>
        <w:rPr>
          <w:rFonts w:ascii="Arial" w:cs="Arial" w:eastAsia="Arial" w:hAnsi="Arial"/>
          <w:sz w:val="18"/>
          <w:szCs w:val="18"/>
          <w:color w:val="auto"/>
        </w:rPr>
        <w:t>,” “</w:t>
      </w:r>
      <w:r>
        <w:rPr>
          <w:rFonts w:ascii="Arial" w:cs="Arial" w:eastAsia="Arial" w:hAnsi="Arial"/>
          <w:sz w:val="18"/>
          <w:szCs w:val="18"/>
          <w:b w:val="1"/>
          <w:bCs w:val="1"/>
          <w:i w:val="1"/>
          <w:i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under common control with</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as an agent, bank, broker, nominee, custodian or trustee for one or more owners who do not individually or as a group have control of such entity.</w:t>
      </w:r>
    </w:p>
    <w:p>
      <w:pPr>
        <w:spacing w:after="0" w:line="194"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 and any applicable rules and regulations promulgated thereunder, and any successor to such statute, rules or regulations.</w:t>
      </w:r>
    </w:p>
    <w:p>
      <w:pPr>
        <w:spacing w:after="0" w:line="170" w:lineRule="exact"/>
        <w:rPr>
          <w:rFonts w:ascii="Arial" w:cs="Arial" w:eastAsia="Arial" w:hAnsi="Arial"/>
          <w:sz w:val="18"/>
          <w:szCs w:val="18"/>
          <w:color w:val="auto"/>
        </w:rPr>
      </w:pPr>
    </w:p>
    <w:p>
      <w:pPr>
        <w:ind w:firstLine="987"/>
        <w:spacing w:after="0" w:line="254" w:lineRule="auto"/>
        <w:tabs>
          <w:tab w:leader="none" w:pos="120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Interested Stockholder</w:t>
      </w:r>
      <w:r>
        <w:rPr>
          <w:rFonts w:ascii="Arial" w:cs="Arial" w:eastAsia="Arial" w:hAnsi="Arial"/>
          <w:sz w:val="18"/>
          <w:szCs w:val="18"/>
          <w:color w:val="auto"/>
        </w:rPr>
        <w:t xml:space="preserve">” means any Person (other than the Corporation and any direct or indirect majority-owned subsidiary of the Corporation) that (i) is the beneficial owner of fifteen percent (15%) or more of the outstanding shares of capital stock of the Corporation that are entitled to vote, or (ii) is an Affiliate of the Corporation and was the beneficial owner of fifteen percent (15%) or more of the outstanding shares of capital stock of the Corporation that are entitled to vote at any time within the three-year period immediately prior to the date on which it is sought to be determined whether such Person is an Interested Stockholder, and the Affiliates and Associates of such Person. Notwithstanding anything in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XIII</w:t>
      </w:r>
      <w:r>
        <w:rPr>
          <w:rFonts w:ascii="Arial" w:cs="Arial" w:eastAsia="Arial" w:hAnsi="Arial"/>
          <w:sz w:val="18"/>
          <w:szCs w:val="18"/>
          <w:color w:val="auto"/>
        </w:rPr>
        <w:t xml:space="preserve"> to the contrary, the term “Interested Stockholder” shall not include: (x) the Centerbridge Related Parties or any of their Affiliates or Associates, including any investment funds managed, directly or indirectly, by Centerbridge or any other Person with whom any of the foregoing are acting as a group or in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40" w:top="274" w:right="519" w:bottom="1440" w:gutter="0" w:footer="0" w:header="0"/>
        </w:sectPr>
      </w:pPr>
    </w:p>
    <w:bookmarkStart w:id="22" w:name="page23"/>
    <w:bookmarkEnd w:id="22"/>
    <w:p>
      <w:pPr>
        <w:ind w:left="4" w:right="1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concert for the purpose of acquiring, holding, voting or disposing of shares of capital stock of the Corporation (y) the NVX Related Parties or any of their Affiliates or Associates, including any investment funds managed, directly or indirectly, by NVX or any other Person with whom any of the foregoing are acting as a group or in concert for the purpose of acquiring, holding, voting or disposing of shares of capital stock of the Corporation, or</w:t>
      </w:r>
    </w:p>
    <w:p>
      <w:pPr>
        <w:spacing w:after="0" w:line="2" w:lineRule="exact"/>
        <w:rPr>
          <w:sz w:val="20"/>
          <w:szCs w:val="20"/>
          <w:color w:val="auto"/>
        </w:rPr>
      </w:pPr>
    </w:p>
    <w:p>
      <w:pPr>
        <w:jc w:val="both"/>
        <w:ind w:left="4" w:right="480" w:hanging="4"/>
        <w:spacing w:after="0" w:line="302" w:lineRule="auto"/>
        <w:tabs>
          <w:tab w:leader="none" w:pos="2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other Person who acquires voting stock of the Corporation directly from a Centerbridge Related Party or an NVX Related Party with prior approval of the Board of Directors, and excluding, for the avoidance of doubt, any Person who acquires voting stock of the Corporation through a broker’s transaction executed on any securities exchange or other over-the-counter market or pursuant to an underwritten public offering.</w:t>
      </w:r>
    </w:p>
    <w:p>
      <w:pPr>
        <w:spacing w:after="0" w:line="155" w:lineRule="exact"/>
        <w:rPr>
          <w:rFonts w:ascii="Arial" w:cs="Arial" w:eastAsia="Arial" w:hAnsi="Arial"/>
          <w:sz w:val="16"/>
          <w:szCs w:val="16"/>
          <w:color w:val="auto"/>
        </w:rPr>
      </w:pPr>
    </w:p>
    <w:p>
      <w:pPr>
        <w:ind w:left="1204" w:hanging="213"/>
        <w:spacing w:after="0"/>
        <w:tabs>
          <w:tab w:leader="none" w:pos="120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NVX</w:t>
      </w:r>
      <w:r>
        <w:rPr>
          <w:rFonts w:ascii="Arial" w:cs="Arial" w:eastAsia="Arial" w:hAnsi="Arial"/>
          <w:sz w:val="18"/>
          <w:szCs w:val="18"/>
          <w:color w:val="auto"/>
        </w:rPr>
        <w:t>” means NVX Holdings, Inc., a Delaware corporation.</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NVX Related Parties</w:t>
      </w:r>
      <w:r>
        <w:rPr>
          <w:rFonts w:ascii="Arial" w:cs="Arial" w:eastAsia="Arial" w:hAnsi="Arial"/>
          <w:sz w:val="18"/>
          <w:szCs w:val="18"/>
          <w:color w:val="auto"/>
        </w:rPr>
        <w:t>” means NVX and its Permitted Transferees.</w:t>
      </w:r>
    </w:p>
    <w:p>
      <w:pPr>
        <w:spacing w:after="0" w:line="225" w:lineRule="exact"/>
        <w:rPr>
          <w:rFonts w:ascii="Arial" w:cs="Arial" w:eastAsia="Arial" w:hAnsi="Arial"/>
          <w:sz w:val="18"/>
          <w:szCs w:val="18"/>
          <w:color w:val="auto"/>
        </w:rPr>
      </w:pPr>
    </w:p>
    <w:p>
      <w:pPr>
        <w:ind w:left="4" w:right="300" w:firstLine="987"/>
        <w:spacing w:after="0" w:line="277" w:lineRule="auto"/>
        <w:tabs>
          <w:tab w:leader="none" w:pos="121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w:t>
      </w:r>
      <w:r>
        <w:rPr>
          <w:rFonts w:ascii="Arial" w:cs="Arial" w:eastAsia="Arial" w:hAnsi="Arial"/>
          <w:sz w:val="18"/>
          <w:szCs w:val="18"/>
          <w:color w:val="auto"/>
        </w:rPr>
        <w:t>,” including the terms “</w:t>
      </w:r>
      <w:r>
        <w:rPr>
          <w:rFonts w:ascii="Arial" w:cs="Arial" w:eastAsia="Arial" w:hAnsi="Arial"/>
          <w:sz w:val="18"/>
          <w:szCs w:val="18"/>
          <w:b w:val="1"/>
          <w:bCs w:val="1"/>
          <w:i w:val="1"/>
          <w:iCs w:val="1"/>
          <w:color w:val="auto"/>
        </w:rPr>
        <w:t>own</w:t>
      </w:r>
      <w:r>
        <w:rPr>
          <w:rFonts w:ascii="Arial" w:cs="Arial" w:eastAsia="Arial" w:hAnsi="Arial"/>
          <w:sz w:val="18"/>
          <w:szCs w:val="18"/>
          <w:color w:val="auto"/>
        </w:rPr>
        <w:t>” and “</w:t>
      </w:r>
      <w:r>
        <w:rPr>
          <w:rFonts w:ascii="Arial" w:cs="Arial" w:eastAsia="Arial" w:hAnsi="Arial"/>
          <w:sz w:val="18"/>
          <w:szCs w:val="18"/>
          <w:b w:val="1"/>
          <w:bCs w:val="1"/>
          <w:i w:val="1"/>
          <w:iCs w:val="1"/>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170" w:lineRule="exact"/>
        <w:rPr>
          <w:rFonts w:ascii="Arial" w:cs="Arial" w:eastAsia="Arial" w:hAnsi="Arial"/>
          <w:sz w:val="18"/>
          <w:szCs w:val="18"/>
          <w:color w:val="auto"/>
        </w:rPr>
      </w:pPr>
    </w:p>
    <w:p>
      <w:pPr>
        <w:ind w:left="1644" w:hanging="212"/>
        <w:spacing w:after="0"/>
        <w:tabs>
          <w:tab w:leader="none" w:pos="1644" w:val="left"/>
        </w:tabs>
        <w:numPr>
          <w:ilvl w:val="2"/>
          <w:numId w:val="22"/>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225" w:lineRule="exact"/>
        <w:rPr>
          <w:rFonts w:ascii="Arial" w:cs="Arial" w:eastAsia="Arial" w:hAnsi="Arial"/>
          <w:sz w:val="18"/>
          <w:szCs w:val="18"/>
          <w:color w:val="auto"/>
        </w:rPr>
      </w:pPr>
    </w:p>
    <w:p>
      <w:pPr>
        <w:ind w:left="4" w:firstLine="1428"/>
        <w:spacing w:after="0" w:line="272" w:lineRule="auto"/>
        <w:tabs>
          <w:tab w:leader="none" w:pos="1701" w:val="left"/>
        </w:tabs>
        <w:numPr>
          <w:ilvl w:val="2"/>
          <w:numId w:val="22"/>
        </w:numPr>
        <w:rPr>
          <w:rFonts w:ascii="Arial" w:cs="Arial" w:eastAsia="Arial" w:hAnsi="Arial"/>
          <w:sz w:val="17"/>
          <w:szCs w:val="17"/>
          <w:color w:val="auto"/>
        </w:rPr>
      </w:pPr>
      <w:r>
        <w:rPr>
          <w:rFonts w:ascii="Arial" w:cs="Arial" w:eastAsia="Arial" w:hAnsi="Arial"/>
          <w:sz w:val="17"/>
          <w:szCs w:val="17"/>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or more Persons; or</w:t>
      </w:r>
    </w:p>
    <w:p>
      <w:pPr>
        <w:spacing w:after="0" w:line="177" w:lineRule="exact"/>
        <w:rPr>
          <w:rFonts w:ascii="Arial" w:cs="Arial" w:eastAsia="Arial" w:hAnsi="Arial"/>
          <w:sz w:val="17"/>
          <w:szCs w:val="17"/>
          <w:color w:val="auto"/>
        </w:rPr>
      </w:pPr>
    </w:p>
    <w:p>
      <w:pPr>
        <w:ind w:left="4" w:right="40" w:firstLine="1428"/>
        <w:spacing w:after="0" w:line="263" w:lineRule="auto"/>
        <w:tabs>
          <w:tab w:leader="none" w:pos="1751" w:val="left"/>
        </w:tabs>
        <w:numPr>
          <w:ilvl w:val="2"/>
          <w:numId w:val="22"/>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183" w:lineRule="exact"/>
        <w:rPr>
          <w:rFonts w:ascii="Arial" w:cs="Arial" w:eastAsia="Arial" w:hAnsi="Arial"/>
          <w:sz w:val="18"/>
          <w:szCs w:val="18"/>
          <w:color w:val="auto"/>
        </w:rPr>
      </w:pPr>
    </w:p>
    <w:p>
      <w:pPr>
        <w:ind w:left="4" w:right="400" w:firstLine="987"/>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except as otherwise provided in the definition of “Change of Control”, any individual, corporation, partnership, limited liability company, unincorporated association or other entity.</w:t>
      </w:r>
    </w:p>
    <w:p>
      <w:pPr>
        <w:spacing w:after="0" w:line="170" w:lineRule="exact"/>
        <w:rPr>
          <w:rFonts w:ascii="Arial" w:cs="Arial" w:eastAsia="Arial" w:hAnsi="Arial"/>
          <w:sz w:val="18"/>
          <w:szCs w:val="18"/>
          <w:color w:val="auto"/>
        </w:rPr>
      </w:pPr>
    </w:p>
    <w:p>
      <w:pPr>
        <w:ind w:left="4" w:right="40" w:firstLine="987"/>
        <w:spacing w:after="0" w:line="277" w:lineRule="auto"/>
        <w:tabs>
          <w:tab w:leader="none" w:pos="12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 and applicable rules and regulations promulgated thereunder, and any successor to such statute, rules or regulations.</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means, with respect to any corporation, capital stock and, with respect to any other entity, any equity interest.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23" w:name="page24"/>
    <w:bookmarkEnd w:id="23"/>
    <w:p>
      <w:pPr>
        <w:ind w:right="40" w:firstLine="987"/>
        <w:spacing w:after="0" w:line="263" w:lineRule="auto"/>
        <w:tabs>
          <w:tab w:leader="none" w:pos="1246"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voting stock</w:t>
      </w:r>
      <w:r>
        <w:rPr>
          <w:rFonts w:ascii="Arial" w:cs="Arial" w:eastAsia="Arial" w:hAnsi="Arial"/>
          <w:sz w:val="18"/>
          <w:szCs w:val="18"/>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XIV.</w:t>
      </w:r>
    </w:p>
    <w:p>
      <w:pPr>
        <w:spacing w:after="0" w:line="229"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If any provision or provisions of this Certificate of Incorporation shall be held to be invalid, illegal or unenforceable as applied to any Person or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and circumstances shall not in any way be affected or impaired thereby.</w:t>
      </w: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XV.</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Certificate of Incorporation shall be effective as of 12:10 a.m. ET on July 15, 2020.</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80"/>
          </w:cols>
          <w:pgMar w:left="440" w:top="274" w:right="67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Corporation has caused this Certificate of Incorporation to be signed on this July 14</w:t>
      </w:r>
      <w:r>
        <w:rPr>
          <w:rFonts w:ascii="Arial" w:cs="Arial" w:eastAsia="Arial" w:hAnsi="Arial"/>
          <w:sz w:val="13"/>
          <w:szCs w:val="13"/>
          <w:color w:val="auto"/>
        </w:rPr>
        <w:t>th</w:t>
      </w:r>
      <w:r>
        <w:rPr>
          <w:rFonts w:ascii="Arial" w:cs="Arial" w:eastAsia="Arial" w:hAnsi="Arial"/>
          <w:sz w:val="16"/>
          <w:szCs w:val="16"/>
          <w:color w:val="auto"/>
        </w:rPr>
        <w:t>, 2020.</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GOHEALTH,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-10160</wp:posOffset>
            </wp:positionV>
            <wp:extent cx="1898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898015"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Clinton P. Jones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9579"/>
          </w:cols>
          <w:pgMar w:left="880" w:top="274" w:right="1440"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AMENDED AND RESTATED BYLAWS</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GOHEALTH, INC.</w:t>
      </w:r>
    </w:p>
    <w:p>
      <w:pPr>
        <w:spacing w:after="0" w:line="22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as of July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6995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203200</wp:posOffset>
            </wp:positionV>
            <wp:extent cx="699516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6940" w:type="dxa"/>
            <w:vAlign w:val="bottom"/>
          </w:tcPr>
          <w:p>
            <w:pPr>
              <w:ind w:left="3300"/>
              <w:spacing w:after="0"/>
              <w:rPr>
                <w:sz w:val="20"/>
                <w:szCs w:val="20"/>
                <w:color w:val="auto"/>
              </w:rPr>
            </w:pPr>
            <w:r>
              <w:rPr>
                <w:rFonts w:ascii="Arial" w:cs="Arial" w:eastAsia="Arial" w:hAnsi="Arial"/>
                <w:sz w:val="18"/>
                <w:szCs w:val="18"/>
                <w:b w:val="1"/>
                <w:bCs w:val="1"/>
                <w:color w:val="auto"/>
              </w:rPr>
              <w:t>CONTENTS</w:t>
            </w:r>
          </w:p>
        </w:tc>
        <w:tc>
          <w:tcPr>
            <w:tcW w:w="2320" w:type="dxa"/>
            <w:vAlign w:val="bottom"/>
          </w:tcPr>
          <w:p>
            <w:pPr>
              <w:spacing w:after="0"/>
              <w:rPr>
                <w:sz w:val="20"/>
                <w:szCs w:val="20"/>
                <w:color w:val="auto"/>
              </w:rPr>
            </w:pPr>
          </w:p>
        </w:tc>
      </w:tr>
      <w:tr>
        <w:trPr>
          <w:trHeight w:val="377"/>
        </w:trPr>
        <w:tc>
          <w:tcPr>
            <w:tcW w:w="17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Article I. Meetings of Stockholders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6940" w:type="dxa"/>
            <w:vAlign w:val="bottom"/>
          </w:tcPr>
          <w:p>
            <w:pPr>
              <w:ind w:left="40"/>
              <w:spacing w:after="0"/>
              <w:rPr>
                <w:sz w:val="20"/>
                <w:szCs w:val="20"/>
                <w:color w:val="auto"/>
              </w:rPr>
            </w:pPr>
            <w:r>
              <w:rPr>
                <w:rFonts w:ascii="Arial" w:cs="Arial" w:eastAsia="Arial" w:hAnsi="Arial"/>
                <w:sz w:val="18"/>
                <w:szCs w:val="18"/>
                <w:color w:val="auto"/>
              </w:rPr>
              <w:t>Place of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6940" w:type="dxa"/>
            <w:vAlign w:val="bottom"/>
          </w:tcPr>
          <w:p>
            <w:pPr>
              <w:ind w:left="40"/>
              <w:spacing w:after="0"/>
              <w:rPr>
                <w:sz w:val="20"/>
                <w:szCs w:val="20"/>
                <w:color w:val="auto"/>
              </w:rPr>
            </w:pPr>
            <w:r>
              <w:rPr>
                <w:rFonts w:ascii="Arial" w:cs="Arial" w:eastAsia="Arial" w:hAnsi="Arial"/>
                <w:sz w:val="18"/>
                <w:szCs w:val="18"/>
                <w:color w:val="auto"/>
              </w:rPr>
              <w:t>Annual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6940" w:type="dxa"/>
            <w:vAlign w:val="bottom"/>
          </w:tcPr>
          <w:p>
            <w:pPr>
              <w:ind w:left="40"/>
              <w:spacing w:after="0"/>
              <w:rPr>
                <w:sz w:val="20"/>
                <w:szCs w:val="20"/>
                <w:color w:val="auto"/>
              </w:rPr>
            </w:pPr>
            <w:r>
              <w:rPr>
                <w:rFonts w:ascii="Arial" w:cs="Arial" w:eastAsia="Arial" w:hAnsi="Arial"/>
                <w:sz w:val="18"/>
                <w:szCs w:val="18"/>
                <w:color w:val="auto"/>
              </w:rPr>
              <w:t>Special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6940" w:type="dxa"/>
            <w:vAlign w:val="bottom"/>
          </w:tcPr>
          <w:p>
            <w:pPr>
              <w:ind w:left="40"/>
              <w:spacing w:after="0"/>
              <w:rPr>
                <w:sz w:val="20"/>
                <w:szCs w:val="20"/>
                <w:color w:val="auto"/>
              </w:rPr>
            </w:pPr>
            <w:r>
              <w:rPr>
                <w:rFonts w:ascii="Arial" w:cs="Arial" w:eastAsia="Arial" w:hAnsi="Arial"/>
                <w:sz w:val="18"/>
                <w:szCs w:val="18"/>
                <w:color w:val="auto"/>
              </w:rPr>
              <w:t>Notice of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6940" w:type="dxa"/>
            <w:vAlign w:val="bottom"/>
          </w:tcPr>
          <w:p>
            <w:pPr>
              <w:ind w:left="40"/>
              <w:spacing w:after="0"/>
              <w:rPr>
                <w:sz w:val="20"/>
                <w:szCs w:val="20"/>
                <w:color w:val="auto"/>
              </w:rPr>
            </w:pPr>
            <w:r>
              <w:rPr>
                <w:rFonts w:ascii="Arial" w:cs="Arial" w:eastAsia="Arial" w:hAnsi="Arial"/>
                <w:sz w:val="18"/>
                <w:szCs w:val="18"/>
                <w:color w:val="auto"/>
              </w:rPr>
              <w:t>Adjournments</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6940" w:type="dxa"/>
            <w:vAlign w:val="bottom"/>
          </w:tcPr>
          <w:p>
            <w:pPr>
              <w:ind w:left="40"/>
              <w:spacing w:after="0"/>
              <w:rPr>
                <w:sz w:val="20"/>
                <w:szCs w:val="20"/>
                <w:color w:val="auto"/>
              </w:rPr>
            </w:pPr>
            <w:r>
              <w:rPr>
                <w:rFonts w:ascii="Arial" w:cs="Arial" w:eastAsia="Arial" w:hAnsi="Arial"/>
                <w:sz w:val="18"/>
                <w:szCs w:val="18"/>
                <w:color w:val="auto"/>
              </w:rPr>
              <w:t>Quorum</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6940" w:type="dxa"/>
            <w:vAlign w:val="bottom"/>
          </w:tcPr>
          <w:p>
            <w:pPr>
              <w:ind w:left="40"/>
              <w:spacing w:after="0"/>
              <w:rPr>
                <w:sz w:val="20"/>
                <w:szCs w:val="20"/>
                <w:color w:val="auto"/>
              </w:rPr>
            </w:pPr>
            <w:r>
              <w:rPr>
                <w:rFonts w:ascii="Arial" w:cs="Arial" w:eastAsia="Arial" w:hAnsi="Arial"/>
                <w:sz w:val="18"/>
                <w:szCs w:val="18"/>
                <w:color w:val="auto"/>
              </w:rPr>
              <w:t>Organization</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6940" w:type="dxa"/>
            <w:vAlign w:val="bottom"/>
          </w:tcPr>
          <w:p>
            <w:pPr>
              <w:ind w:left="40"/>
              <w:spacing w:after="0"/>
              <w:rPr>
                <w:sz w:val="20"/>
                <w:szCs w:val="20"/>
                <w:color w:val="auto"/>
              </w:rPr>
            </w:pPr>
            <w:r>
              <w:rPr>
                <w:rFonts w:ascii="Arial" w:cs="Arial" w:eastAsia="Arial" w:hAnsi="Arial"/>
                <w:sz w:val="18"/>
                <w:szCs w:val="18"/>
                <w:color w:val="auto"/>
              </w:rPr>
              <w:t>Voting; Proxies</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6940" w:type="dxa"/>
            <w:vAlign w:val="bottom"/>
          </w:tcPr>
          <w:p>
            <w:pPr>
              <w:ind w:left="40"/>
              <w:spacing w:after="0"/>
              <w:rPr>
                <w:sz w:val="20"/>
                <w:szCs w:val="20"/>
                <w:color w:val="auto"/>
              </w:rPr>
            </w:pPr>
            <w:r>
              <w:rPr>
                <w:rFonts w:ascii="Arial" w:cs="Arial" w:eastAsia="Arial" w:hAnsi="Arial"/>
                <w:sz w:val="18"/>
                <w:szCs w:val="18"/>
                <w:color w:val="auto"/>
              </w:rPr>
              <w:t>Fixing Date for Determination of Stockholders of Record</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6940" w:type="dxa"/>
            <w:vAlign w:val="bottom"/>
          </w:tcPr>
          <w:p>
            <w:pPr>
              <w:ind w:left="40"/>
              <w:spacing w:after="0"/>
              <w:rPr>
                <w:sz w:val="20"/>
                <w:szCs w:val="20"/>
                <w:color w:val="auto"/>
              </w:rPr>
            </w:pPr>
            <w:r>
              <w:rPr>
                <w:rFonts w:ascii="Arial" w:cs="Arial" w:eastAsia="Arial" w:hAnsi="Arial"/>
                <w:sz w:val="18"/>
                <w:szCs w:val="18"/>
                <w:color w:val="auto"/>
              </w:rPr>
              <w:t>List of Stockholders Entitled to Vote</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170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6940" w:type="dxa"/>
            <w:vAlign w:val="bottom"/>
          </w:tcPr>
          <w:p>
            <w:pPr>
              <w:ind w:left="40"/>
              <w:spacing w:after="0"/>
              <w:rPr>
                <w:sz w:val="20"/>
                <w:szCs w:val="20"/>
                <w:color w:val="auto"/>
              </w:rPr>
            </w:pPr>
            <w:r>
              <w:rPr>
                <w:rFonts w:ascii="Arial" w:cs="Arial" w:eastAsia="Arial" w:hAnsi="Arial"/>
                <w:sz w:val="18"/>
                <w:szCs w:val="18"/>
                <w:color w:val="auto"/>
              </w:rPr>
              <w:t>Inspectors of Election</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170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6940" w:type="dxa"/>
            <w:vAlign w:val="bottom"/>
          </w:tcPr>
          <w:p>
            <w:pPr>
              <w:ind w:left="40"/>
              <w:spacing w:after="0"/>
              <w:rPr>
                <w:sz w:val="20"/>
                <w:szCs w:val="20"/>
                <w:color w:val="auto"/>
              </w:rPr>
            </w:pPr>
            <w:r>
              <w:rPr>
                <w:rFonts w:ascii="Arial" w:cs="Arial" w:eastAsia="Arial" w:hAnsi="Arial"/>
                <w:sz w:val="18"/>
                <w:szCs w:val="18"/>
                <w:color w:val="auto"/>
              </w:rPr>
              <w:t>Conduct of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6940" w:type="dxa"/>
            <w:vAlign w:val="bottom"/>
          </w:tcPr>
          <w:p>
            <w:pPr>
              <w:ind w:left="40"/>
              <w:spacing w:after="0"/>
              <w:rPr>
                <w:sz w:val="20"/>
                <w:szCs w:val="20"/>
                <w:color w:val="auto"/>
              </w:rPr>
            </w:pPr>
            <w:r>
              <w:rPr>
                <w:rFonts w:ascii="Arial" w:cs="Arial" w:eastAsia="Arial" w:hAnsi="Arial"/>
                <w:sz w:val="18"/>
                <w:szCs w:val="18"/>
                <w:color w:val="auto"/>
              </w:rPr>
              <w:t>Advance Notice Procedures for Business Brought Before a Meeting</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4"/>
        </w:trPr>
        <w:tc>
          <w:tcPr>
            <w:tcW w:w="170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6940" w:type="dxa"/>
            <w:vAlign w:val="bottom"/>
          </w:tcPr>
          <w:p>
            <w:pPr>
              <w:ind w:left="40"/>
              <w:spacing w:after="0"/>
              <w:rPr>
                <w:sz w:val="20"/>
                <w:szCs w:val="20"/>
                <w:color w:val="auto"/>
              </w:rPr>
            </w:pPr>
            <w:r>
              <w:rPr>
                <w:rFonts w:ascii="Arial" w:cs="Arial" w:eastAsia="Arial" w:hAnsi="Arial"/>
                <w:sz w:val="18"/>
                <w:szCs w:val="18"/>
                <w:color w:val="auto"/>
              </w:rPr>
              <w:t>Advance Notice Procedures for Nominations of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Article II. Board of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6940" w:type="dxa"/>
            <w:vAlign w:val="bottom"/>
          </w:tcPr>
          <w:p>
            <w:pPr>
              <w:ind w:left="40"/>
              <w:spacing w:after="0"/>
              <w:rPr>
                <w:sz w:val="20"/>
                <w:szCs w:val="20"/>
                <w:color w:val="auto"/>
              </w:rPr>
            </w:pPr>
            <w:r>
              <w:rPr>
                <w:rFonts w:ascii="Arial" w:cs="Arial" w:eastAsia="Arial" w:hAnsi="Arial"/>
                <w:sz w:val="18"/>
                <w:szCs w:val="18"/>
                <w:color w:val="auto"/>
              </w:rPr>
              <w:t>Number; Tenure; Qualifications</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6940" w:type="dxa"/>
            <w:vAlign w:val="bottom"/>
          </w:tcPr>
          <w:p>
            <w:pPr>
              <w:ind w:left="40"/>
              <w:spacing w:after="0"/>
              <w:rPr>
                <w:sz w:val="20"/>
                <w:szCs w:val="20"/>
                <w:color w:val="auto"/>
              </w:rPr>
            </w:pPr>
            <w:r>
              <w:rPr>
                <w:rFonts w:ascii="Arial" w:cs="Arial" w:eastAsia="Arial" w:hAnsi="Arial"/>
                <w:sz w:val="18"/>
                <w:szCs w:val="18"/>
                <w:color w:val="auto"/>
              </w:rPr>
              <w:t>Election; Resignation; Removal; Vacancies</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6940" w:type="dxa"/>
            <w:vAlign w:val="bottom"/>
          </w:tcPr>
          <w:p>
            <w:pPr>
              <w:ind w:left="40"/>
              <w:spacing w:after="0"/>
              <w:rPr>
                <w:sz w:val="20"/>
                <w:szCs w:val="20"/>
                <w:color w:val="auto"/>
              </w:rPr>
            </w:pPr>
            <w:r>
              <w:rPr>
                <w:rFonts w:ascii="Arial" w:cs="Arial" w:eastAsia="Arial" w:hAnsi="Arial"/>
                <w:sz w:val="18"/>
                <w:szCs w:val="18"/>
                <w:color w:val="auto"/>
              </w:rPr>
              <w:t>Regular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6940" w:type="dxa"/>
            <w:vAlign w:val="bottom"/>
          </w:tcPr>
          <w:p>
            <w:pPr>
              <w:ind w:left="40"/>
              <w:spacing w:after="0"/>
              <w:rPr>
                <w:sz w:val="20"/>
                <w:szCs w:val="20"/>
                <w:color w:val="auto"/>
              </w:rPr>
            </w:pPr>
            <w:r>
              <w:rPr>
                <w:rFonts w:ascii="Arial" w:cs="Arial" w:eastAsia="Arial" w:hAnsi="Arial"/>
                <w:sz w:val="18"/>
                <w:szCs w:val="18"/>
                <w:color w:val="auto"/>
              </w:rPr>
              <w:t>Special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6940" w:type="dxa"/>
            <w:vAlign w:val="bottom"/>
          </w:tcPr>
          <w:p>
            <w:pPr>
              <w:ind w:left="40"/>
              <w:spacing w:after="0"/>
              <w:rPr>
                <w:sz w:val="20"/>
                <w:szCs w:val="20"/>
                <w:color w:val="auto"/>
              </w:rPr>
            </w:pPr>
            <w:r>
              <w:rPr>
                <w:rFonts w:ascii="Arial" w:cs="Arial" w:eastAsia="Arial" w:hAnsi="Arial"/>
                <w:sz w:val="18"/>
                <w:szCs w:val="18"/>
                <w:color w:val="auto"/>
              </w:rPr>
              <w:t>Telephonic Meetings Permitted</w:t>
            </w: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6940" w:type="dxa"/>
            <w:vAlign w:val="bottom"/>
          </w:tcPr>
          <w:p>
            <w:pPr>
              <w:ind w:left="40"/>
              <w:spacing w:after="0"/>
              <w:rPr>
                <w:sz w:val="20"/>
                <w:szCs w:val="20"/>
                <w:color w:val="auto"/>
              </w:rPr>
            </w:pPr>
            <w:r>
              <w:rPr>
                <w:rFonts w:ascii="Arial" w:cs="Arial" w:eastAsia="Arial" w:hAnsi="Arial"/>
                <w:sz w:val="18"/>
                <w:szCs w:val="18"/>
                <w:color w:val="auto"/>
              </w:rPr>
              <w:t>Quorum; Vote Required for Action</w:t>
            </w: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2.07</w:t>
            </w:r>
          </w:p>
        </w:tc>
        <w:tc>
          <w:tcPr>
            <w:tcW w:w="6940" w:type="dxa"/>
            <w:vAlign w:val="bottom"/>
          </w:tcPr>
          <w:p>
            <w:pPr>
              <w:ind w:left="40"/>
              <w:spacing w:after="0"/>
              <w:rPr>
                <w:sz w:val="20"/>
                <w:szCs w:val="20"/>
                <w:color w:val="auto"/>
              </w:rPr>
            </w:pPr>
            <w:r>
              <w:rPr>
                <w:rFonts w:ascii="Arial" w:cs="Arial" w:eastAsia="Arial" w:hAnsi="Arial"/>
                <w:sz w:val="18"/>
                <w:szCs w:val="18"/>
                <w:color w:val="auto"/>
              </w:rPr>
              <w:t>Organization</w:t>
            </w: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2.08</w:t>
            </w:r>
          </w:p>
        </w:tc>
        <w:tc>
          <w:tcPr>
            <w:tcW w:w="6940" w:type="dxa"/>
            <w:vAlign w:val="bottom"/>
          </w:tcPr>
          <w:p>
            <w:pPr>
              <w:ind w:left="40"/>
              <w:spacing w:after="0"/>
              <w:rPr>
                <w:sz w:val="20"/>
                <w:szCs w:val="20"/>
                <w:color w:val="auto"/>
              </w:rPr>
            </w:pPr>
            <w:r>
              <w:rPr>
                <w:rFonts w:ascii="Arial" w:cs="Arial" w:eastAsia="Arial" w:hAnsi="Arial"/>
                <w:sz w:val="18"/>
                <w:szCs w:val="18"/>
                <w:color w:val="auto"/>
              </w:rPr>
              <w:t>Action by Unanimous Consent of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2.09</w:t>
            </w:r>
          </w:p>
        </w:tc>
        <w:tc>
          <w:tcPr>
            <w:tcW w:w="6940" w:type="dxa"/>
            <w:vAlign w:val="bottom"/>
          </w:tcPr>
          <w:p>
            <w:pPr>
              <w:ind w:left="40"/>
              <w:spacing w:after="0"/>
              <w:rPr>
                <w:sz w:val="20"/>
                <w:szCs w:val="20"/>
                <w:color w:val="auto"/>
              </w:rPr>
            </w:pPr>
            <w:r>
              <w:rPr>
                <w:rFonts w:ascii="Arial" w:cs="Arial" w:eastAsia="Arial" w:hAnsi="Arial"/>
                <w:sz w:val="18"/>
                <w:szCs w:val="18"/>
                <w:color w:val="auto"/>
              </w:rPr>
              <w:t>Compensation of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6940" w:type="dxa"/>
            <w:vAlign w:val="bottom"/>
          </w:tcPr>
          <w:p>
            <w:pPr>
              <w:ind w:left="40"/>
              <w:spacing w:after="0"/>
              <w:rPr>
                <w:sz w:val="20"/>
                <w:szCs w:val="20"/>
                <w:color w:val="auto"/>
              </w:rPr>
            </w:pPr>
            <w:r>
              <w:rPr>
                <w:rFonts w:ascii="Arial" w:cs="Arial" w:eastAsia="Arial" w:hAnsi="Arial"/>
                <w:sz w:val="18"/>
                <w:szCs w:val="18"/>
                <w:color w:val="auto"/>
              </w:rPr>
              <w:t>Chairpersons</w:t>
            </w: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700" w:type="dxa"/>
            <w:vAlign w:val="bottom"/>
          </w:tcPr>
          <w:p>
            <w:pPr>
              <w:spacing w:after="0"/>
              <w:rPr>
                <w:sz w:val="20"/>
                <w:szCs w:val="20"/>
                <w:color w:val="auto"/>
              </w:rPr>
            </w:pPr>
            <w:r>
              <w:rPr>
                <w:rFonts w:ascii="Arial" w:cs="Arial" w:eastAsia="Arial" w:hAnsi="Arial"/>
                <w:sz w:val="18"/>
                <w:szCs w:val="18"/>
                <w:color w:val="auto"/>
                <w:w w:val="95"/>
              </w:rPr>
              <w:t>Article III. Committees</w:t>
            </w:r>
          </w:p>
        </w:tc>
        <w:tc>
          <w:tcPr>
            <w:tcW w:w="694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6940" w:type="dxa"/>
            <w:vAlign w:val="bottom"/>
          </w:tcPr>
          <w:p>
            <w:pPr>
              <w:ind w:left="40"/>
              <w:spacing w:after="0"/>
              <w:rPr>
                <w:sz w:val="20"/>
                <w:szCs w:val="20"/>
                <w:color w:val="auto"/>
              </w:rPr>
            </w:pPr>
            <w:r>
              <w:rPr>
                <w:rFonts w:ascii="Arial" w:cs="Arial" w:eastAsia="Arial" w:hAnsi="Arial"/>
                <w:sz w:val="18"/>
                <w:szCs w:val="18"/>
                <w:color w:val="auto"/>
              </w:rPr>
              <w:t>Committees</w:t>
            </w:r>
          </w:p>
        </w:tc>
        <w:tc>
          <w:tcPr>
            <w:tcW w:w="2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6940" w:type="dxa"/>
            <w:vAlign w:val="bottom"/>
          </w:tcPr>
          <w:p>
            <w:pPr>
              <w:ind w:left="40"/>
              <w:spacing w:after="0"/>
              <w:rPr>
                <w:sz w:val="20"/>
                <w:szCs w:val="20"/>
                <w:color w:val="auto"/>
              </w:rPr>
            </w:pPr>
            <w:r>
              <w:rPr>
                <w:rFonts w:ascii="Arial" w:cs="Arial" w:eastAsia="Arial" w:hAnsi="Arial"/>
                <w:sz w:val="18"/>
                <w:szCs w:val="18"/>
                <w:color w:val="auto"/>
              </w:rPr>
              <w:t>Committee Minutes</w:t>
            </w:r>
          </w:p>
        </w:tc>
        <w:tc>
          <w:tcPr>
            <w:tcW w:w="2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6940" w:type="dxa"/>
            <w:vAlign w:val="bottom"/>
          </w:tcPr>
          <w:p>
            <w:pPr>
              <w:ind w:left="40"/>
              <w:spacing w:after="0"/>
              <w:rPr>
                <w:sz w:val="20"/>
                <w:szCs w:val="20"/>
                <w:color w:val="auto"/>
              </w:rPr>
            </w:pPr>
            <w:r>
              <w:rPr>
                <w:rFonts w:ascii="Arial" w:cs="Arial" w:eastAsia="Arial" w:hAnsi="Arial"/>
                <w:sz w:val="18"/>
                <w:szCs w:val="18"/>
                <w:color w:val="auto"/>
              </w:rPr>
              <w:t>Committee Rules</w:t>
            </w:r>
          </w:p>
        </w:tc>
        <w:tc>
          <w:tcPr>
            <w:tcW w:w="2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700" w:type="dxa"/>
            <w:vAlign w:val="bottom"/>
          </w:tcPr>
          <w:p>
            <w:pPr>
              <w:spacing w:after="0"/>
              <w:rPr>
                <w:sz w:val="20"/>
                <w:szCs w:val="20"/>
                <w:color w:val="auto"/>
              </w:rPr>
            </w:pPr>
            <w:r>
              <w:rPr>
                <w:rFonts w:ascii="Arial" w:cs="Arial" w:eastAsia="Arial" w:hAnsi="Arial"/>
                <w:sz w:val="18"/>
                <w:szCs w:val="18"/>
                <w:color w:val="auto"/>
              </w:rPr>
              <w:t>Article IV. Officers</w:t>
            </w:r>
          </w:p>
        </w:tc>
        <w:tc>
          <w:tcPr>
            <w:tcW w:w="694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6940" w:type="dxa"/>
            <w:vAlign w:val="bottom"/>
          </w:tcPr>
          <w:p>
            <w:pPr>
              <w:ind w:left="40"/>
              <w:spacing w:after="0"/>
              <w:rPr>
                <w:sz w:val="20"/>
                <w:szCs w:val="20"/>
                <w:color w:val="auto"/>
              </w:rPr>
            </w:pPr>
            <w:r>
              <w:rPr>
                <w:rFonts w:ascii="Arial" w:cs="Arial" w:eastAsia="Arial" w:hAnsi="Arial"/>
                <w:sz w:val="18"/>
                <w:szCs w:val="18"/>
                <w:color w:val="auto"/>
              </w:rPr>
              <w:t>Officers</w:t>
            </w:r>
          </w:p>
        </w:tc>
        <w:tc>
          <w:tcPr>
            <w:tcW w:w="2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6940" w:type="dxa"/>
            <w:vAlign w:val="bottom"/>
          </w:tcPr>
          <w:p>
            <w:pPr>
              <w:ind w:left="40"/>
              <w:spacing w:after="0"/>
              <w:rPr>
                <w:sz w:val="20"/>
                <w:szCs w:val="20"/>
                <w:color w:val="auto"/>
              </w:rPr>
            </w:pPr>
            <w:r>
              <w:rPr>
                <w:rFonts w:ascii="Arial" w:cs="Arial" w:eastAsia="Arial" w:hAnsi="Arial"/>
                <w:sz w:val="18"/>
                <w:szCs w:val="18"/>
                <w:color w:val="auto"/>
              </w:rPr>
              <w:t>Appointment of Officers</w:t>
            </w: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4.03</w:t>
            </w:r>
          </w:p>
        </w:tc>
        <w:tc>
          <w:tcPr>
            <w:tcW w:w="6940" w:type="dxa"/>
            <w:vAlign w:val="bottom"/>
          </w:tcPr>
          <w:p>
            <w:pPr>
              <w:ind w:left="40"/>
              <w:spacing w:after="0"/>
              <w:rPr>
                <w:sz w:val="20"/>
                <w:szCs w:val="20"/>
                <w:color w:val="auto"/>
              </w:rPr>
            </w:pPr>
            <w:r>
              <w:rPr>
                <w:rFonts w:ascii="Arial" w:cs="Arial" w:eastAsia="Arial" w:hAnsi="Arial"/>
                <w:sz w:val="18"/>
                <w:szCs w:val="18"/>
                <w:color w:val="auto"/>
              </w:rPr>
              <w:t>Subordinate Officer</w:t>
            </w: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4.04</w:t>
            </w:r>
          </w:p>
        </w:tc>
        <w:tc>
          <w:tcPr>
            <w:tcW w:w="6940" w:type="dxa"/>
            <w:vAlign w:val="bottom"/>
          </w:tcPr>
          <w:p>
            <w:pPr>
              <w:ind w:left="40"/>
              <w:spacing w:after="0"/>
              <w:rPr>
                <w:sz w:val="20"/>
                <w:szCs w:val="20"/>
                <w:color w:val="auto"/>
              </w:rPr>
            </w:pPr>
            <w:r>
              <w:rPr>
                <w:rFonts w:ascii="Arial" w:cs="Arial" w:eastAsia="Arial" w:hAnsi="Arial"/>
                <w:sz w:val="18"/>
                <w:szCs w:val="18"/>
                <w:color w:val="auto"/>
              </w:rPr>
              <w:t>Removal and Resignation of Officers</w:t>
            </w: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4.05</w:t>
            </w:r>
          </w:p>
        </w:tc>
        <w:tc>
          <w:tcPr>
            <w:tcW w:w="6940" w:type="dxa"/>
            <w:vAlign w:val="bottom"/>
          </w:tcPr>
          <w:p>
            <w:pPr>
              <w:ind w:left="40"/>
              <w:spacing w:after="0"/>
              <w:rPr>
                <w:sz w:val="20"/>
                <w:szCs w:val="20"/>
                <w:color w:val="auto"/>
              </w:rPr>
            </w:pPr>
            <w:r>
              <w:rPr>
                <w:rFonts w:ascii="Arial" w:cs="Arial" w:eastAsia="Arial" w:hAnsi="Arial"/>
                <w:sz w:val="18"/>
                <w:szCs w:val="18"/>
                <w:color w:val="auto"/>
              </w:rPr>
              <w:t>Vacancies in Offices</w:t>
            </w: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4.06</w:t>
            </w:r>
          </w:p>
        </w:tc>
        <w:tc>
          <w:tcPr>
            <w:tcW w:w="6940" w:type="dxa"/>
            <w:vAlign w:val="bottom"/>
          </w:tcPr>
          <w:p>
            <w:pPr>
              <w:ind w:left="40"/>
              <w:spacing w:after="0"/>
              <w:rPr>
                <w:sz w:val="20"/>
                <w:szCs w:val="20"/>
                <w:color w:val="auto"/>
              </w:rPr>
            </w:pPr>
            <w:r>
              <w:rPr>
                <w:rFonts w:ascii="Arial" w:cs="Arial" w:eastAsia="Arial" w:hAnsi="Arial"/>
                <w:sz w:val="18"/>
                <w:szCs w:val="18"/>
                <w:color w:val="auto"/>
              </w:rPr>
              <w:t>Chief Executive Officer</w:t>
            </w: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4.07</w:t>
            </w:r>
          </w:p>
        </w:tc>
        <w:tc>
          <w:tcPr>
            <w:tcW w:w="6940" w:type="dxa"/>
            <w:vAlign w:val="bottom"/>
          </w:tcPr>
          <w:p>
            <w:pPr>
              <w:ind w:left="40"/>
              <w:spacing w:after="0"/>
              <w:rPr>
                <w:sz w:val="20"/>
                <w:szCs w:val="20"/>
                <w:color w:val="auto"/>
              </w:rPr>
            </w:pPr>
            <w:r>
              <w:rPr>
                <w:rFonts w:ascii="Arial" w:cs="Arial" w:eastAsia="Arial" w:hAnsi="Arial"/>
                <w:sz w:val="18"/>
                <w:szCs w:val="18"/>
                <w:color w:val="auto"/>
              </w:rPr>
              <w:t>President</w:t>
            </w: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4.08</w:t>
            </w:r>
          </w:p>
        </w:tc>
        <w:tc>
          <w:tcPr>
            <w:tcW w:w="6940" w:type="dxa"/>
            <w:vAlign w:val="bottom"/>
          </w:tcPr>
          <w:p>
            <w:pPr>
              <w:ind w:left="40"/>
              <w:spacing w:after="0"/>
              <w:rPr>
                <w:sz w:val="20"/>
                <w:szCs w:val="20"/>
                <w:color w:val="auto"/>
              </w:rPr>
            </w:pPr>
            <w:r>
              <w:rPr>
                <w:rFonts w:ascii="Arial" w:cs="Arial" w:eastAsia="Arial" w:hAnsi="Arial"/>
                <w:sz w:val="18"/>
                <w:szCs w:val="18"/>
                <w:color w:val="auto"/>
              </w:rPr>
              <w:t>Secretary</w:t>
            </w:r>
          </w:p>
        </w:tc>
        <w:tc>
          <w:tcPr>
            <w:tcW w:w="2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4.09</w:t>
            </w:r>
          </w:p>
        </w:tc>
        <w:tc>
          <w:tcPr>
            <w:tcW w:w="694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2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4.10</w:t>
            </w:r>
          </w:p>
        </w:tc>
        <w:tc>
          <w:tcPr>
            <w:tcW w:w="6940" w:type="dxa"/>
            <w:vAlign w:val="bottom"/>
          </w:tcPr>
          <w:p>
            <w:pPr>
              <w:ind w:left="40"/>
              <w:spacing w:after="0"/>
              <w:rPr>
                <w:sz w:val="20"/>
                <w:szCs w:val="20"/>
                <w:color w:val="auto"/>
              </w:rPr>
            </w:pPr>
            <w:r>
              <w:rPr>
                <w:rFonts w:ascii="Arial" w:cs="Arial" w:eastAsia="Arial" w:hAnsi="Arial"/>
                <w:sz w:val="18"/>
                <w:szCs w:val="18"/>
                <w:color w:val="auto"/>
              </w:rPr>
              <w:t>Representation of Shares of Other Entities</w:t>
            </w:r>
          </w:p>
        </w:tc>
        <w:tc>
          <w:tcPr>
            <w:tcW w:w="2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4.11</w:t>
            </w:r>
          </w:p>
        </w:tc>
        <w:tc>
          <w:tcPr>
            <w:tcW w:w="6940" w:type="dxa"/>
            <w:vAlign w:val="bottom"/>
          </w:tcPr>
          <w:p>
            <w:pPr>
              <w:ind w:left="40"/>
              <w:spacing w:after="0"/>
              <w:rPr>
                <w:sz w:val="20"/>
                <w:szCs w:val="20"/>
                <w:color w:val="auto"/>
              </w:rPr>
            </w:pPr>
            <w:r>
              <w:rPr>
                <w:rFonts w:ascii="Arial" w:cs="Arial" w:eastAsia="Arial" w:hAnsi="Arial"/>
                <w:sz w:val="18"/>
                <w:szCs w:val="18"/>
                <w:color w:val="auto"/>
              </w:rPr>
              <w:t>Authority and Duties of Officers</w:t>
            </w:r>
          </w:p>
        </w:tc>
        <w:tc>
          <w:tcPr>
            <w:tcW w:w="2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4.12</w:t>
            </w:r>
          </w:p>
        </w:tc>
        <w:tc>
          <w:tcPr>
            <w:tcW w:w="694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2320" w:type="dxa"/>
            <w:vAlign w:val="bottom"/>
          </w:tcPr>
          <w:p>
            <w:pPr>
              <w:jc w:val="right"/>
              <w:spacing w:after="0"/>
              <w:rPr>
                <w:sz w:val="20"/>
                <w:szCs w:val="20"/>
                <w:color w:val="auto"/>
              </w:rPr>
            </w:pPr>
            <w:r>
              <w:rPr>
                <w:rFonts w:ascii="Arial" w:cs="Arial" w:eastAsia="Arial" w:hAnsi="Arial"/>
                <w:sz w:val="18"/>
                <w:szCs w:val="18"/>
                <w:color w:val="auto"/>
              </w:rPr>
              <w:t>18</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7" w:name="page28"/>
    <w:bookmarkEnd w:id="27"/>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Article V. Stock</w:t>
            </w:r>
          </w:p>
        </w:tc>
        <w:tc>
          <w:tcPr>
            <w:tcW w:w="74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7440" w:type="dxa"/>
            <w:vAlign w:val="bottom"/>
          </w:tcPr>
          <w:p>
            <w:pPr>
              <w:ind w:left="240"/>
              <w:spacing w:after="0"/>
              <w:rPr>
                <w:sz w:val="20"/>
                <w:szCs w:val="20"/>
                <w:color w:val="auto"/>
              </w:rPr>
            </w:pPr>
            <w:r>
              <w:rPr>
                <w:rFonts w:ascii="Arial" w:cs="Arial" w:eastAsia="Arial" w:hAnsi="Arial"/>
                <w:sz w:val="18"/>
                <w:szCs w:val="18"/>
                <w:color w:val="auto"/>
              </w:rPr>
              <w:t>Certificates</w:t>
            </w:r>
          </w:p>
        </w:tc>
        <w:tc>
          <w:tcPr>
            <w:tcW w:w="2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7440" w:type="dxa"/>
            <w:vAlign w:val="bottom"/>
          </w:tcPr>
          <w:p>
            <w:pPr>
              <w:ind w:left="240"/>
              <w:spacing w:after="0"/>
              <w:rPr>
                <w:sz w:val="20"/>
                <w:szCs w:val="20"/>
                <w:color w:val="auto"/>
              </w:rPr>
            </w:pPr>
            <w:r>
              <w:rPr>
                <w:rFonts w:ascii="Arial" w:cs="Arial" w:eastAsia="Arial" w:hAnsi="Arial"/>
                <w:sz w:val="18"/>
                <w:szCs w:val="18"/>
                <w:color w:val="auto"/>
              </w:rPr>
              <w:t>Lost, Stolen or Destroyed Stock Certificates; Issuance of New Certificates</w:t>
            </w:r>
          </w:p>
        </w:tc>
        <w:tc>
          <w:tcPr>
            <w:tcW w:w="2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940" w:type="dxa"/>
            <w:vAlign w:val="bottom"/>
            <w:gridSpan w:val="2"/>
          </w:tcPr>
          <w:p>
            <w:pPr>
              <w:spacing w:after="0"/>
              <w:rPr>
                <w:sz w:val="20"/>
                <w:szCs w:val="20"/>
                <w:color w:val="auto"/>
              </w:rPr>
            </w:pPr>
            <w:r>
              <w:rPr>
                <w:rFonts w:ascii="Arial" w:cs="Arial" w:eastAsia="Arial" w:hAnsi="Arial"/>
                <w:sz w:val="18"/>
                <w:szCs w:val="18"/>
                <w:color w:val="auto"/>
              </w:rPr>
              <w:t>Article VI. Indemnification and Advancement of Expenses</w:t>
            </w:r>
          </w:p>
        </w:tc>
        <w:tc>
          <w:tcPr>
            <w:tcW w:w="2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7440" w:type="dxa"/>
            <w:vAlign w:val="bottom"/>
          </w:tcPr>
          <w:p>
            <w:pPr>
              <w:ind w:left="240"/>
              <w:spacing w:after="0"/>
              <w:rPr>
                <w:sz w:val="20"/>
                <w:szCs w:val="20"/>
                <w:color w:val="auto"/>
              </w:rPr>
            </w:pPr>
            <w:r>
              <w:rPr>
                <w:rFonts w:ascii="Arial" w:cs="Arial" w:eastAsia="Arial" w:hAnsi="Arial"/>
                <w:sz w:val="18"/>
                <w:szCs w:val="18"/>
                <w:color w:val="auto"/>
              </w:rPr>
              <w:t>Right to Indemnification</w:t>
            </w:r>
          </w:p>
        </w:tc>
        <w:tc>
          <w:tcPr>
            <w:tcW w:w="2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7440" w:type="dxa"/>
            <w:vAlign w:val="bottom"/>
          </w:tcPr>
          <w:p>
            <w:pPr>
              <w:ind w:left="240"/>
              <w:spacing w:after="0"/>
              <w:rPr>
                <w:sz w:val="20"/>
                <w:szCs w:val="20"/>
                <w:color w:val="auto"/>
              </w:rPr>
            </w:pPr>
            <w:r>
              <w:rPr>
                <w:rFonts w:ascii="Arial" w:cs="Arial" w:eastAsia="Arial" w:hAnsi="Arial"/>
                <w:sz w:val="18"/>
                <w:szCs w:val="18"/>
                <w:color w:val="auto"/>
              </w:rPr>
              <w:t>Indemnification of Others</w:t>
            </w:r>
          </w:p>
        </w:tc>
        <w:tc>
          <w:tcPr>
            <w:tcW w:w="2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7440" w:type="dxa"/>
            <w:vAlign w:val="bottom"/>
          </w:tcPr>
          <w:p>
            <w:pPr>
              <w:ind w:left="240"/>
              <w:spacing w:after="0"/>
              <w:rPr>
                <w:sz w:val="20"/>
                <w:szCs w:val="20"/>
                <w:color w:val="auto"/>
              </w:rPr>
            </w:pPr>
            <w:r>
              <w:rPr>
                <w:rFonts w:ascii="Arial" w:cs="Arial" w:eastAsia="Arial" w:hAnsi="Arial"/>
                <w:sz w:val="18"/>
                <w:szCs w:val="18"/>
                <w:color w:val="auto"/>
              </w:rPr>
              <w:t>Advancement of Expenses</w:t>
            </w:r>
          </w:p>
        </w:tc>
        <w:tc>
          <w:tcPr>
            <w:tcW w:w="2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7440" w:type="dxa"/>
            <w:vAlign w:val="bottom"/>
          </w:tcPr>
          <w:p>
            <w:pPr>
              <w:ind w:left="240"/>
              <w:spacing w:after="0"/>
              <w:rPr>
                <w:sz w:val="20"/>
                <w:szCs w:val="20"/>
                <w:color w:val="auto"/>
              </w:rPr>
            </w:pPr>
            <w:r>
              <w:rPr>
                <w:rFonts w:ascii="Arial" w:cs="Arial" w:eastAsia="Arial" w:hAnsi="Arial"/>
                <w:sz w:val="18"/>
                <w:szCs w:val="18"/>
                <w:color w:val="auto"/>
              </w:rPr>
              <w:t>Claims</w:t>
            </w:r>
          </w:p>
        </w:tc>
        <w:tc>
          <w:tcPr>
            <w:tcW w:w="2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7440" w:type="dxa"/>
            <w:vAlign w:val="bottom"/>
          </w:tcPr>
          <w:p>
            <w:pPr>
              <w:ind w:left="240"/>
              <w:spacing w:after="0"/>
              <w:rPr>
                <w:sz w:val="20"/>
                <w:szCs w:val="20"/>
                <w:color w:val="auto"/>
              </w:rPr>
            </w:pPr>
            <w:r>
              <w:rPr>
                <w:rFonts w:ascii="Arial" w:cs="Arial" w:eastAsia="Arial" w:hAnsi="Arial"/>
                <w:sz w:val="18"/>
                <w:szCs w:val="18"/>
                <w:color w:val="auto"/>
              </w:rPr>
              <w:t>Non-exclusivity of Rights</w:t>
            </w:r>
          </w:p>
        </w:tc>
        <w:tc>
          <w:tcPr>
            <w:tcW w:w="2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744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2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7440" w:type="dxa"/>
            <w:vAlign w:val="bottom"/>
          </w:tcPr>
          <w:p>
            <w:pPr>
              <w:ind w:left="240"/>
              <w:spacing w:after="0"/>
              <w:rPr>
                <w:sz w:val="20"/>
                <w:szCs w:val="20"/>
                <w:color w:val="auto"/>
              </w:rPr>
            </w:pPr>
            <w:r>
              <w:rPr>
                <w:rFonts w:ascii="Arial" w:cs="Arial" w:eastAsia="Arial" w:hAnsi="Arial"/>
                <w:sz w:val="18"/>
                <w:szCs w:val="18"/>
                <w:color w:val="auto"/>
              </w:rPr>
              <w:t>Other Sources</w:t>
            </w:r>
          </w:p>
        </w:tc>
        <w:tc>
          <w:tcPr>
            <w:tcW w:w="2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7440" w:type="dxa"/>
            <w:vAlign w:val="bottom"/>
          </w:tcPr>
          <w:p>
            <w:pPr>
              <w:ind w:left="240"/>
              <w:spacing w:after="0"/>
              <w:rPr>
                <w:sz w:val="20"/>
                <w:szCs w:val="20"/>
                <w:color w:val="auto"/>
              </w:rPr>
            </w:pPr>
            <w:r>
              <w:rPr>
                <w:rFonts w:ascii="Arial" w:cs="Arial" w:eastAsia="Arial" w:hAnsi="Arial"/>
                <w:sz w:val="18"/>
                <w:szCs w:val="18"/>
                <w:color w:val="auto"/>
              </w:rPr>
              <w:t>Continuation of Indemnification</w:t>
            </w:r>
          </w:p>
        </w:tc>
        <w:tc>
          <w:tcPr>
            <w:tcW w:w="2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7440" w:type="dxa"/>
            <w:vAlign w:val="bottom"/>
          </w:tcPr>
          <w:p>
            <w:pPr>
              <w:ind w:left="240"/>
              <w:spacing w:after="0"/>
              <w:rPr>
                <w:sz w:val="20"/>
                <w:szCs w:val="20"/>
                <w:color w:val="auto"/>
              </w:rPr>
            </w:pPr>
            <w:r>
              <w:rPr>
                <w:rFonts w:ascii="Arial" w:cs="Arial" w:eastAsia="Arial" w:hAnsi="Arial"/>
                <w:sz w:val="18"/>
                <w:szCs w:val="18"/>
                <w:color w:val="auto"/>
              </w:rPr>
              <w:t>Amendment or Repeal</w:t>
            </w:r>
          </w:p>
        </w:tc>
        <w:tc>
          <w:tcPr>
            <w:tcW w:w="2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7440" w:type="dxa"/>
            <w:vAlign w:val="bottom"/>
          </w:tcPr>
          <w:p>
            <w:pPr>
              <w:ind w:left="240"/>
              <w:spacing w:after="0"/>
              <w:rPr>
                <w:sz w:val="20"/>
                <w:szCs w:val="20"/>
                <w:color w:val="auto"/>
              </w:rPr>
            </w:pPr>
            <w:r>
              <w:rPr>
                <w:rFonts w:ascii="Arial" w:cs="Arial" w:eastAsia="Arial" w:hAnsi="Arial"/>
                <w:sz w:val="18"/>
                <w:szCs w:val="18"/>
                <w:color w:val="auto"/>
              </w:rPr>
              <w:t>Other Indemnification and Advancement of Expenses</w:t>
            </w:r>
          </w:p>
        </w:tc>
        <w:tc>
          <w:tcPr>
            <w:tcW w:w="2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94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2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440" w:type="dxa"/>
            <w:vAlign w:val="bottom"/>
          </w:tcPr>
          <w:p>
            <w:pPr>
              <w:ind w:left="240"/>
              <w:spacing w:after="0"/>
              <w:rPr>
                <w:sz w:val="20"/>
                <w:szCs w:val="20"/>
                <w:color w:val="auto"/>
              </w:rPr>
            </w:pPr>
            <w:r>
              <w:rPr>
                <w:rFonts w:ascii="Arial" w:cs="Arial" w:eastAsia="Arial" w:hAnsi="Arial"/>
                <w:sz w:val="18"/>
                <w:szCs w:val="18"/>
                <w:color w:val="auto"/>
              </w:rPr>
              <w:t>Fiscal Year</w:t>
            </w:r>
          </w:p>
        </w:tc>
        <w:tc>
          <w:tcPr>
            <w:tcW w:w="2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440" w:type="dxa"/>
            <w:vAlign w:val="bottom"/>
          </w:tcPr>
          <w:p>
            <w:pPr>
              <w:ind w:left="240"/>
              <w:spacing w:after="0"/>
              <w:rPr>
                <w:sz w:val="20"/>
                <w:szCs w:val="20"/>
                <w:color w:val="auto"/>
              </w:rPr>
            </w:pPr>
            <w:r>
              <w:rPr>
                <w:rFonts w:ascii="Arial" w:cs="Arial" w:eastAsia="Arial" w:hAnsi="Arial"/>
                <w:sz w:val="18"/>
                <w:szCs w:val="18"/>
                <w:color w:val="auto"/>
              </w:rPr>
              <w:t>Seal</w:t>
            </w:r>
          </w:p>
        </w:tc>
        <w:tc>
          <w:tcPr>
            <w:tcW w:w="2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440" w:type="dxa"/>
            <w:vAlign w:val="bottom"/>
          </w:tcPr>
          <w:p>
            <w:pPr>
              <w:ind w:left="240"/>
              <w:spacing w:after="0"/>
              <w:rPr>
                <w:sz w:val="20"/>
                <w:szCs w:val="20"/>
                <w:color w:val="auto"/>
              </w:rPr>
            </w:pPr>
            <w:r>
              <w:rPr>
                <w:rFonts w:ascii="Arial" w:cs="Arial" w:eastAsia="Arial" w:hAnsi="Arial"/>
                <w:sz w:val="18"/>
                <w:szCs w:val="18"/>
                <w:color w:val="auto"/>
              </w:rPr>
              <w:t>Dividends</w:t>
            </w:r>
          </w:p>
        </w:tc>
        <w:tc>
          <w:tcPr>
            <w:tcW w:w="2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7440" w:type="dxa"/>
            <w:vAlign w:val="bottom"/>
          </w:tcPr>
          <w:p>
            <w:pPr>
              <w:ind w:left="240"/>
              <w:spacing w:after="0"/>
              <w:rPr>
                <w:sz w:val="20"/>
                <w:szCs w:val="20"/>
                <w:color w:val="auto"/>
              </w:rPr>
            </w:pPr>
            <w:r>
              <w:rPr>
                <w:rFonts w:ascii="Arial" w:cs="Arial" w:eastAsia="Arial" w:hAnsi="Arial"/>
                <w:sz w:val="18"/>
                <w:szCs w:val="18"/>
                <w:color w:val="auto"/>
              </w:rPr>
              <w:t>Registered Stockholders</w:t>
            </w:r>
          </w:p>
        </w:tc>
        <w:tc>
          <w:tcPr>
            <w:tcW w:w="2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7440" w:type="dxa"/>
            <w:vAlign w:val="bottom"/>
          </w:tcPr>
          <w:p>
            <w:pPr>
              <w:ind w:left="240"/>
              <w:spacing w:after="0"/>
              <w:rPr>
                <w:sz w:val="20"/>
                <w:szCs w:val="20"/>
                <w:color w:val="auto"/>
              </w:rPr>
            </w:pPr>
            <w:r>
              <w:rPr>
                <w:rFonts w:ascii="Arial" w:cs="Arial" w:eastAsia="Arial" w:hAnsi="Arial"/>
                <w:sz w:val="18"/>
                <w:szCs w:val="18"/>
                <w:color w:val="auto"/>
              </w:rPr>
              <w:t>Corporate Seal</w:t>
            </w:r>
          </w:p>
        </w:tc>
        <w:tc>
          <w:tcPr>
            <w:tcW w:w="2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7440" w:type="dxa"/>
            <w:vAlign w:val="bottom"/>
          </w:tcPr>
          <w:p>
            <w:pPr>
              <w:ind w:left="240"/>
              <w:spacing w:after="0"/>
              <w:rPr>
                <w:sz w:val="20"/>
                <w:szCs w:val="20"/>
                <w:color w:val="auto"/>
              </w:rPr>
            </w:pPr>
            <w:r>
              <w:rPr>
                <w:rFonts w:ascii="Arial" w:cs="Arial" w:eastAsia="Arial" w:hAnsi="Arial"/>
                <w:sz w:val="18"/>
                <w:szCs w:val="18"/>
                <w:color w:val="auto"/>
              </w:rPr>
              <w:t>Construction; Definitions</w:t>
            </w:r>
          </w:p>
        </w:tc>
        <w:tc>
          <w:tcPr>
            <w:tcW w:w="2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7440" w:type="dxa"/>
            <w:vAlign w:val="bottom"/>
          </w:tcPr>
          <w:p>
            <w:pPr>
              <w:ind w:left="240"/>
              <w:spacing w:after="0"/>
              <w:rPr>
                <w:sz w:val="20"/>
                <w:szCs w:val="20"/>
                <w:color w:val="auto"/>
              </w:rPr>
            </w:pPr>
            <w:r>
              <w:rPr>
                <w:rFonts w:ascii="Arial" w:cs="Arial" w:eastAsia="Arial" w:hAnsi="Arial"/>
                <w:sz w:val="18"/>
                <w:szCs w:val="18"/>
                <w:color w:val="auto"/>
              </w:rPr>
              <w:t>Manner of Notice</w:t>
            </w:r>
          </w:p>
        </w:tc>
        <w:tc>
          <w:tcPr>
            <w:tcW w:w="2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7.08</w:t>
            </w:r>
          </w:p>
        </w:tc>
        <w:tc>
          <w:tcPr>
            <w:tcW w:w="7440" w:type="dxa"/>
            <w:vAlign w:val="bottom"/>
          </w:tcPr>
          <w:p>
            <w:pPr>
              <w:ind w:left="240"/>
              <w:spacing w:after="0"/>
              <w:rPr>
                <w:sz w:val="20"/>
                <w:szCs w:val="20"/>
                <w:color w:val="auto"/>
              </w:rPr>
            </w:pPr>
            <w:r>
              <w:rPr>
                <w:rFonts w:ascii="Arial" w:cs="Arial" w:eastAsia="Arial" w:hAnsi="Arial"/>
                <w:sz w:val="18"/>
                <w:szCs w:val="18"/>
                <w:color w:val="auto"/>
              </w:rPr>
              <w:t>Waiver of Notice of Meetings of Stockholders, Directors and Committees</w:t>
            </w:r>
          </w:p>
        </w:tc>
        <w:tc>
          <w:tcPr>
            <w:tcW w:w="2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7.09</w:t>
            </w:r>
          </w:p>
        </w:tc>
        <w:tc>
          <w:tcPr>
            <w:tcW w:w="7440" w:type="dxa"/>
            <w:vAlign w:val="bottom"/>
          </w:tcPr>
          <w:p>
            <w:pPr>
              <w:ind w:left="240"/>
              <w:spacing w:after="0"/>
              <w:rPr>
                <w:sz w:val="20"/>
                <w:szCs w:val="20"/>
                <w:color w:val="auto"/>
              </w:rPr>
            </w:pPr>
            <w:r>
              <w:rPr>
                <w:rFonts w:ascii="Arial" w:cs="Arial" w:eastAsia="Arial" w:hAnsi="Arial"/>
                <w:sz w:val="18"/>
                <w:szCs w:val="18"/>
                <w:color w:val="auto"/>
              </w:rPr>
              <w:t>Form of Records</w:t>
            </w:r>
          </w:p>
        </w:tc>
        <w:tc>
          <w:tcPr>
            <w:tcW w:w="2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440" w:type="dxa"/>
            <w:vAlign w:val="bottom"/>
          </w:tcPr>
          <w:p>
            <w:pPr>
              <w:ind w:left="240"/>
              <w:spacing w:after="0"/>
              <w:rPr>
                <w:sz w:val="20"/>
                <w:szCs w:val="20"/>
                <w:color w:val="auto"/>
              </w:rPr>
            </w:pPr>
            <w:r>
              <w:rPr>
                <w:rFonts w:ascii="Arial" w:cs="Arial" w:eastAsia="Arial" w:hAnsi="Arial"/>
                <w:sz w:val="18"/>
                <w:szCs w:val="18"/>
                <w:color w:val="auto"/>
              </w:rPr>
              <w:t>Amendment of Bylaws</w:t>
            </w:r>
          </w:p>
        </w:tc>
        <w:tc>
          <w:tcPr>
            <w:tcW w:w="202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211"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Place of Meetings</w:t>
      </w:r>
      <w:r>
        <w:rPr>
          <w:rFonts w:ascii="Arial" w:cs="Arial" w:eastAsia="Arial" w:hAnsi="Arial"/>
          <w:sz w:val="17"/>
          <w:szCs w:val="17"/>
          <w:color w:val="auto"/>
        </w:rPr>
        <w:t>. Meetings of stockholders of GoHealth, Inc., a Delaware corporation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and such stockholders, the “</w:t>
      </w:r>
      <w:r>
        <w:rPr>
          <w:rFonts w:ascii="Arial" w:cs="Arial" w:eastAsia="Arial" w:hAnsi="Arial"/>
          <w:sz w:val="17"/>
          <w:szCs w:val="17"/>
          <w:b w:val="1"/>
          <w:bCs w:val="1"/>
          <w:i w:val="1"/>
          <w:iCs w:val="1"/>
          <w:color w:val="auto"/>
        </w:rPr>
        <w:t>Stockholders</w:t>
      </w:r>
      <w:r>
        <w:rPr>
          <w:rFonts w:ascii="Arial" w:cs="Arial" w:eastAsia="Arial" w:hAnsi="Arial"/>
          <w:sz w:val="17"/>
          <w:szCs w:val="17"/>
          <w:color w:val="auto"/>
        </w:rPr>
        <w:t>”), may be held at any place, within or without the State of Delaware, as may be designated by or in the manner determined by the board of directors of the Corporation (the “</w:t>
      </w:r>
      <w:r>
        <w:rPr>
          <w:rFonts w:ascii="Arial" w:cs="Arial" w:eastAsia="Arial" w:hAnsi="Arial"/>
          <w:sz w:val="17"/>
          <w:szCs w:val="17"/>
          <w:b w:val="1"/>
          <w:bCs w:val="1"/>
          <w:i w:val="1"/>
          <w:iCs w:val="1"/>
          <w:color w:val="auto"/>
        </w:rPr>
        <w:t>Board of Directors</w:t>
      </w:r>
      <w:r>
        <w:rPr>
          <w:rFonts w:ascii="Arial" w:cs="Arial" w:eastAsia="Arial" w:hAnsi="Arial"/>
          <w:sz w:val="17"/>
          <w:szCs w:val="17"/>
          <w:color w:val="auto"/>
        </w:rPr>
        <w:t>”). In the absence of such designation, meetings of Stockholders shall be held at the principal executive office of the Corporation. The Board of Directors may, in its sole discretion, determine that a meeting of Stockholders shall not be held at any place, but may instead be held solely by means of remote communication authorized by and in accordance with Section 211(a) of the General Corporation Law of the State of Delaware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w:t>
      </w:r>
    </w:p>
    <w:p>
      <w:pPr>
        <w:spacing w:after="0" w:line="178"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Stockholders shall be held for the election of directors at such date and time as may be designated by or in the manner determined by resolution of the Board of Directors from time to time. Any other business as may be properly brought before the annual meeting may be transacted at the annual meeting. The Board of Directors may postpone, reschedule or cancel any annual meeting of Stockholders previously scheduled by the Board of Directors.</w:t>
      </w:r>
    </w:p>
    <w:p>
      <w:pPr>
        <w:spacing w:after="0" w:line="187"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Stockholders for any purpose or purposes may be called only by a chairperson or co-chairperson of the Board of Directors (a “</w:t>
      </w:r>
      <w:r>
        <w:rPr>
          <w:rFonts w:ascii="Arial" w:cs="Arial" w:eastAsia="Arial" w:hAnsi="Arial"/>
          <w:sz w:val="17"/>
          <w:szCs w:val="17"/>
          <w:b w:val="1"/>
          <w:bCs w:val="1"/>
          <w:i w:val="1"/>
          <w:iCs w:val="1"/>
          <w:color w:val="auto"/>
        </w:rPr>
        <w:t>Chairperson</w:t>
      </w:r>
      <w:r>
        <w:rPr>
          <w:rFonts w:ascii="Arial" w:cs="Arial" w:eastAsia="Arial" w:hAnsi="Arial"/>
          <w:sz w:val="17"/>
          <w:szCs w:val="17"/>
          <w:color w:val="auto"/>
        </w:rPr>
        <w:t>”) or pursuant to a resolution adopted by a majority of the Whole Board of Directors then in office. For purposes of these Bylaws, the term “</w:t>
      </w:r>
      <w:r>
        <w:rPr>
          <w:rFonts w:ascii="Arial" w:cs="Arial" w:eastAsia="Arial" w:hAnsi="Arial"/>
          <w:sz w:val="17"/>
          <w:szCs w:val="17"/>
          <w:b w:val="1"/>
          <w:bCs w:val="1"/>
          <w:i w:val="1"/>
          <w:iCs w:val="1"/>
          <w:color w:val="auto"/>
        </w:rPr>
        <w:t>Whole Board of Directors</w:t>
      </w:r>
      <w:r>
        <w:rPr>
          <w:rFonts w:ascii="Arial" w:cs="Arial" w:eastAsia="Arial" w:hAnsi="Arial"/>
          <w:sz w:val="17"/>
          <w:szCs w:val="17"/>
          <w:color w:val="auto"/>
        </w:rPr>
        <w:t xml:space="preserve">” shall mean the total number of authorized directors whether or not there exist any vacancies in previously authorized directorships. Special meetings validly called in accordance with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of these amended and restated bylaws (as the same may be further amended, restated, amended and restated or otherwise modified from time to time, these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xml:space="preserve">”) may be held at such date and time as specified in the applicable notice. Notice of every special meeting shall state the purpose or purposes of the meeting, and the business transacted at any special meeting of Stockholders shall be limited to the purpose or purposes stated in the notice. The Board of Directors may postpone, reschedule or cancel any special meeting of Stockholders previously scheduled by a Chairperson or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with respect to any special meeting of stockholders previously scheduled by the Board of Directors at the request of Centerbridge (as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in the Certificate of Incorporation), the Board of Directors shall not postpone, reschedule or cancel such special meeting without the prior written consent of Centerbridge.</w:t>
      </w:r>
    </w:p>
    <w:p>
      <w:pPr>
        <w:spacing w:after="0" w:line="182"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Notice of Meetings</w:t>
      </w:r>
      <w:r>
        <w:rPr>
          <w:rFonts w:ascii="Arial" w:cs="Arial" w:eastAsia="Arial" w:hAnsi="Arial"/>
          <w:sz w:val="17"/>
          <w:szCs w:val="17"/>
          <w:color w:val="auto"/>
        </w:rPr>
        <w:t>.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required by law, the Amended and Restated Certificate of Incorporation of the Corporation (as the same may be further amended, restated, amended and restated or otherwise modified from time to time, the “</w:t>
      </w:r>
      <w:r>
        <w:rPr>
          <w:rFonts w:ascii="Arial" w:cs="Arial" w:eastAsia="Arial" w:hAnsi="Arial"/>
          <w:sz w:val="17"/>
          <w:szCs w:val="17"/>
          <w:b w:val="1"/>
          <w:bCs w:val="1"/>
          <w:i w:val="1"/>
          <w:iCs w:val="1"/>
          <w:color w:val="auto"/>
        </w:rPr>
        <w:t>Certificate of Incorporation</w:t>
      </w:r>
      <w:r>
        <w:rPr>
          <w:rFonts w:ascii="Arial" w:cs="Arial" w:eastAsia="Arial" w:hAnsi="Arial"/>
          <w:sz w:val="17"/>
          <w:szCs w:val="17"/>
          <w:color w:val="auto"/>
        </w:rPr>
        <w:t>”) or these Bylaws, the notice of any meeting shall be given not less</w:t>
      </w:r>
    </w:p>
    <w:p>
      <w:pPr>
        <w:sectPr>
          <w:pgSz w:w="11900" w:h="16838" w:orient="portrait"/>
          <w:cols w:equalWidth="0" w:num="1">
            <w:col w:w="11000"/>
          </w:cols>
          <w:pgMar w:left="440" w:top="274" w:right="459" w:bottom="1440" w:gutter="0" w:footer="0" w:header="0"/>
        </w:sectPr>
      </w:pPr>
    </w:p>
    <w:bookmarkStart w:id="29" w:name="page30"/>
    <w:bookmarkEnd w:id="29"/>
    <w:p>
      <w:pPr>
        <w:jc w:val="both"/>
        <w:ind w:right="2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than ten (10) nor more than sixty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spacing w:after="0" w:line="149" w:lineRule="exact"/>
        <w:rPr>
          <w:sz w:val="20"/>
          <w:szCs w:val="20"/>
          <w:color w:val="auto"/>
        </w:rPr>
      </w:pPr>
    </w:p>
    <w:p>
      <w:pPr>
        <w:ind w:right="40" w:firstLine="440"/>
        <w:spacing w:after="0" w:line="284"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Adjournments</w:t>
      </w:r>
      <w:r>
        <w:rPr>
          <w:rFonts w:ascii="Arial" w:cs="Arial" w:eastAsia="Arial" w:hAnsi="Arial"/>
          <w:sz w:val="16"/>
          <w:szCs w:val="16"/>
          <w:color w:val="auto"/>
        </w:rPr>
        <w:t xml:space="preserve">. Any meeting of Stockholders, annual or special, may be adjourned from time to time by the chairperson of the meeting (or by the Stockholders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to reconvene at the same or some other place, if any, and the same or some other time, and notice need not be given of any such adjourned meeting if the time and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 new record date for determining Stockholders entitled to notice of such adjourned meeting in accordance with</w:t>
      </w:r>
    </w:p>
    <w:p>
      <w:pPr>
        <w:spacing w:after="0" w:line="1"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u w:val="single" w:color="auto"/>
          <w:color w:val="auto"/>
        </w:rPr>
        <w:t>Section 1.09(a)</w:t>
      </w:r>
      <w:r>
        <w:rPr>
          <w:rFonts w:ascii="Arial" w:cs="Arial" w:eastAsia="Arial" w:hAnsi="Arial"/>
          <w:sz w:val="16"/>
          <w:szCs w:val="16"/>
          <w:color w:val="auto"/>
        </w:rPr>
        <w:t xml:space="preserve"> of these Bylaws, and shall give notice of the adjourned meeting to each Stockholder of record entitled to vote at such adjourned meeting as of the record date fixed for notice of such adjourned meeting. If mailed, such notice shall be deemed to be given when deposited in the United States mail, postage prepaid, directed to the Stockholder at such Stockholder’s address as it appears on the records of the Corporation.</w:t>
      </w:r>
    </w:p>
    <w:p>
      <w:pPr>
        <w:spacing w:after="0" w:line="155"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Quorum</w:t>
      </w:r>
      <w:r>
        <w:rPr>
          <w:rFonts w:ascii="Arial" w:cs="Arial" w:eastAsia="Arial" w:hAnsi="Arial"/>
          <w:sz w:val="16"/>
          <w:szCs w:val="16"/>
          <w:color w:val="auto"/>
        </w:rPr>
        <w:t>. At any meeting of the Stockholders, the holders of a majority of the voting power of the outstanding shares of capital stock of the Corporation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xml:space="preserve">”) entitled to vote at the meeting, present in person or by proxy, shall constitute a quorum for all purposes, unless or except to the extent that the presence of a larger number may be required by law, the rules of any stock exchange upon which the Corporation’s securities are listed, the Certificate of Incorporation or these Bylaws. In the absence of a quorum, then either (i) the chairperson of the meeting or (ii) if the Board of Directors so determines, the Stockholders by the affirmative vote of a majority of the voting power of the outstanding shares of capital Stock entitled to vote thereon, present in person or represented by proxy, shall have the power to adjourn the meeting from time to time in the manner provided in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of these Bylaws until a quorum is present or represented. Where a separate vote by a class or classes or series of Stock is required by law or the Certificate of Incorporation, the holders of a majority of voting power of the shares of such class or classes or series of Stock issued and outstanding and entitled to vote on such matter, present in person or represented by proxy, shall constitute a quorum entitled to take action with respect to the vote on such matter. A quorum, once established at a meeting, shall not be broken by the withdrawal of enough votes to leave less than a quorum.</w:t>
      </w:r>
    </w:p>
    <w:p>
      <w:pPr>
        <w:spacing w:after="0" w:line="168"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Organization</w:t>
      </w:r>
      <w:r>
        <w:rPr>
          <w:rFonts w:ascii="Arial" w:cs="Arial" w:eastAsia="Arial" w:hAnsi="Arial"/>
          <w:sz w:val="18"/>
          <w:szCs w:val="18"/>
          <w:color w:val="auto"/>
        </w:rPr>
        <w:t>. Meetings of Stockholders shall be presided over by a Chairperson or by such other officer or director of the Corporation as designated by the Board of Directors or a Chairperson, or in the absence of such person or designation, by a chairperson chosen at the meeting by the affirmative vote of a majority of the voting power of Stock present or represented at the meeting and entitled to vote at the meeting (provided there is a quorum). The Secretary shall act as secretary of the meeting, but in his or her absence the chairperson of the meeting may appoint any person to act as secretary of the meeting.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0" w:name="page31"/>
    <w:bookmarkEnd w:id="30"/>
    <w:p>
      <w:pPr>
        <w:ind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1.08 </w:t>
      </w:r>
      <w:r>
        <w:rPr>
          <w:rFonts w:ascii="Arial" w:cs="Arial" w:eastAsia="Arial" w:hAnsi="Arial"/>
          <w:sz w:val="16"/>
          <w:szCs w:val="16"/>
          <w:u w:val="single" w:color="auto"/>
          <w:color w:val="auto"/>
        </w:rPr>
        <w:t>Voting; Proxies</w:t>
      </w:r>
      <w:r>
        <w:rPr>
          <w:rFonts w:ascii="Arial" w:cs="Arial" w:eastAsia="Arial" w:hAnsi="Arial"/>
          <w:sz w:val="16"/>
          <w:szCs w:val="16"/>
          <w:color w:val="auto"/>
        </w:rPr>
        <w:t>. Each Stockholder entitled to vote at any meeting of Stockholders shall be entitled to the number of votes, if any, for each share of Stock held of record by such Stockholder which has voting power upon the matter in question that is set forth in the Certificate of Incorporation or, if such voting power is not set forth in the Certificate of Incorporation, one vote per share. Each Stockholder entitled to vote at a meeting of Stockholders or express consent to corporate action without a meeting (if permitted by the Certificate of Incorporation) may authorize another person or persons to act for such Stockholder by proxy, but no such proxy shall be voted or acted upon after three years from its date, unless the proxy provides for a longer period. A proxy may be authorized by an instrument in writing or by a transmission permitted by law and shall be filed in accordance with the procedure established for the meeting.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(including by means of remote communication, if applicable) or by delivering to the Secretary a revocation of the proxy or a new proxy bearing a later date. Voting at meetings of Stockholders need not be by written ballot. Unless otherwise provided in the Certificate of Incorporation, at all meetings of Stockholders for the election of directors at which a quorum is present a plurality of the votes cast shall be sufficient to elect directors. No holder of shares of Stock shall have the right to cumulate votes. All other elections and questions presented to the Stockholders at a meeting at which a quorum is present shall be decided by the affirmative vote of the holders of a majority of votes cast (excluding abstentions and broker non-votes) on such matter, unless a different or minimum vote is required by the Certificate of Incorporation, these Bylaws, the rules or regulations of any stock exchange applicable to the Corporation, or applicable law or pursuant to any regulation applicable to the Corporation or its securities in which case such different or minimum vote shall be the applicable vote on the matter.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Fixing Date for Determination of Stockholders of Record</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7" w:lineRule="auto"/>
        <w:tabs>
          <w:tab w:leader="none" w:pos="68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w:t>
      </w:r>
      <w:r>
        <w:rPr>
          <w:rFonts w:ascii="Arial" w:cs="Arial" w:eastAsia="Arial" w:hAnsi="Arial"/>
          <w:sz w:val="16"/>
          <w:szCs w:val="16"/>
          <w:u w:val="single" w:color="auto"/>
          <w:color w:val="auto"/>
        </w:rPr>
        <w:t>Section 1.09(a)</w:t>
      </w:r>
      <w:r>
        <w:rPr>
          <w:rFonts w:ascii="Arial" w:cs="Arial" w:eastAsia="Arial" w:hAnsi="Arial"/>
          <w:sz w:val="16"/>
          <w:szCs w:val="16"/>
          <w:color w:val="auto"/>
        </w:rPr>
        <w:t xml:space="preserve"> at the adjourned meeting.</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1" w:name="page32"/>
    <w:bookmarkEnd w:id="31"/>
    <w:p>
      <w:pPr>
        <w:ind w:right="120" w:firstLine="436"/>
        <w:spacing w:after="0" w:line="296" w:lineRule="auto"/>
        <w:tabs>
          <w:tab w:leader="none" w:pos="695"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53" w:lineRule="exact"/>
        <w:rPr>
          <w:rFonts w:ascii="Arial" w:cs="Arial" w:eastAsia="Arial" w:hAnsi="Arial"/>
          <w:sz w:val="16"/>
          <w:szCs w:val="16"/>
          <w:color w:val="auto"/>
        </w:rPr>
      </w:pPr>
    </w:p>
    <w:p>
      <w:pPr>
        <w:ind w:right="40" w:firstLine="436"/>
        <w:spacing w:after="0" w:line="270" w:lineRule="auto"/>
        <w:tabs>
          <w:tab w:leader="none" w:pos="685"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Unless otherwise restricted by the Certificate of Incorporation, in order that the Corporation may determine the Stockholders entitled to consent to corporate action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consent to corporate action in writing without a meeting is fixed by the Board of Directors, (i) when no prior action of the Board of Directors is required by law or the Certificate of Incorporation, the record date for such purpose shall be the first date on which a signed written consent setting forth the action taken or proposed to be taken is delivered to the Corporation in accordance with applicable law and (ii) if prior action by the Board of Directors is required by law or the Certificate of Incorporation, the record date for such purpose shall be at the close of business on the day on which the Board of Directors adopts the resolution taking such prior action.</w:t>
      </w:r>
    </w:p>
    <w:p>
      <w:pPr>
        <w:spacing w:after="0" w:line="18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u w:val="single" w:color="auto"/>
          <w:color w:val="auto"/>
        </w:rPr>
        <w:t>List of Stockholders Entitled to Vote</w:t>
      </w:r>
      <w:r>
        <w:rPr>
          <w:rFonts w:ascii="Arial" w:cs="Arial" w:eastAsia="Arial" w:hAnsi="Arial"/>
          <w:sz w:val="16"/>
          <w:szCs w:val="16"/>
          <w:color w:val="auto"/>
        </w:rPr>
        <w:t>. The Corporation shall prepare, at least ten (10) days before every meeting of Stockholders, a complete list of the Stockholders entitled to vote at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as of the record date (or such other date). Such list shall be open to the examination of any Stockholder, for any purpose germane to the meeting at least ten (10) days prior to the meeting (i) on a reasonably accessible electronic network,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required to gain access to such list is provided with the notice of the meeting or (ii)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or to vote in person or by proxy at any meeting of Stockholders. For purposes of these Bylaws, the term “stock ledger” means one or more records administered by or on behalf of the Corporation in which the names of all of the Corporation’s Stockholders of record, the address and number of shares registered in the name of each such Stockholder, and all issuances and transfers of stock of the Corporation are recorded.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2" w:name="page33"/>
    <w:bookmarkEnd w:id="32"/>
    <w:p>
      <w:pPr>
        <w:ind w:left="4"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1.11 </w:t>
      </w:r>
      <w:r>
        <w:rPr>
          <w:rFonts w:ascii="Arial" w:cs="Arial" w:eastAsia="Arial" w:hAnsi="Arial"/>
          <w:sz w:val="16"/>
          <w:szCs w:val="16"/>
          <w:u w:val="single" w:color="auto"/>
          <w:color w:val="auto"/>
        </w:rPr>
        <w:t>Inspectors of Election</w:t>
      </w:r>
      <w:r>
        <w:rPr>
          <w:rFonts w:ascii="Arial" w:cs="Arial" w:eastAsia="Arial" w:hAnsi="Arial"/>
          <w:sz w:val="16"/>
          <w:szCs w:val="16"/>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may, and to the extent required by law, shall appoint one or more inspectors to act at the meeting. Each inspector, before entering upon the discharge of his or her duties, shall take and sign an oath to execute faithfully the duties of inspector with strict impartiality and according to the best of his or her ability. Any report or certificate made by the inspectors of election is prima facie evidence of the facts stated therein. The inspector or inspectors so appointed or designated shall (i) ascertain the number of shares of Stock outstanding and the voting power of each such share, (ii) determine the shares of Stock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Stock represented at the meeting and such inspectors’ count of all votes and ballots. Such certification and report shall specify such other information as may be required by law. In determining the validity and counting of proxies and ballots cast at any meeting of Stockholders, the inspectors may consider such information as is permitted by applicable law. No person who is a candidate for an office at an election may serve as an inspector at such election.</w:t>
      </w:r>
    </w:p>
    <w:p>
      <w:pPr>
        <w:spacing w:after="0" w:line="174"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Conduct of Meetings</w:t>
      </w:r>
      <w:r>
        <w:rPr>
          <w:rFonts w:ascii="Arial" w:cs="Arial" w:eastAsia="Arial" w:hAnsi="Arial"/>
          <w:sz w:val="16"/>
          <w:szCs w:val="16"/>
          <w:color w:val="auto"/>
        </w:rPr>
        <w:t xml:space="preserve">. The date and time of the opening and the closing of the polls for each matter upon which the Stockholders will vote at a meeting shall be announced at the meeting by the person presiding over the meeting designated in accordance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of these Bylaws. After the polls close, no ballots, proxies or votes or any revocations or changes thereto may be accepted.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w:t>
      </w:r>
    </w:p>
    <w:p>
      <w:pPr>
        <w:spacing w:after="0" w:line="6" w:lineRule="exact"/>
        <w:rPr>
          <w:sz w:val="20"/>
          <w:szCs w:val="20"/>
          <w:color w:val="auto"/>
        </w:rPr>
      </w:pPr>
    </w:p>
    <w:p>
      <w:pPr>
        <w:ind w:left="4" w:right="20" w:hanging="4"/>
        <w:spacing w:after="0" w:line="271" w:lineRule="auto"/>
        <w:tabs>
          <w:tab w:leader="none" w:pos="319"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3" w:name="page34"/>
    <w:bookmarkEnd w:id="33"/>
    <w:p>
      <w:pPr>
        <w:ind w:right="1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49" w:lineRule="exact"/>
        <w:rPr>
          <w:sz w:val="20"/>
          <w:szCs w:val="20"/>
          <w:color w:val="auto"/>
        </w:rPr>
      </w:pPr>
    </w:p>
    <w:p>
      <w:pPr>
        <w:ind w:right="360" w:firstLine="440"/>
        <w:spacing w:after="0" w:line="257"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Advance Notice Procedures for Business Brought before a Meeting</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shall apply to any business that may be brought before an annual meeting of Stockholders other than nominations for election to the Board of Directors at such a meeting, which shall be governed by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of these Bylaws. Stockholders seeking to nominate Persons for election to the Board of Directors must comply with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of these Bylaws, and this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shall not be applicable to nominations for election to the Board of Directors except as expressly provided in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of these Bylaws.</w:t>
      </w:r>
    </w:p>
    <w:p>
      <w:pPr>
        <w:spacing w:after="0" w:line="80" w:lineRule="exact"/>
        <w:rPr>
          <w:sz w:val="20"/>
          <w:szCs w:val="20"/>
          <w:color w:val="auto"/>
        </w:rPr>
      </w:pPr>
    </w:p>
    <w:p>
      <w:pPr>
        <w:ind w:firstLine="436"/>
        <w:spacing w:after="0" w:line="267" w:lineRule="auto"/>
        <w:tabs>
          <w:tab w:leader="none" w:pos="685"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At an annual meeting of the Stockholders, only such business shall be conducted as shall have been properly brought before the meeting. To be properly brought before an annual meeting, business must be (a) specified in a notice of meeting given by or at the direction of the Board of Directors or a duly authorized committee thereof, (b) if not specified in a notice of meeting, otherwise brought before the meeting by the Board of Directors or the chairperson of the meeting, or (c) otherwise properly brought before the meeting by a Stockholder present in person who (A)(1) was a Stockholder of record of the Corporation both at the time of giving the notice provided for in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and at the time of the meeting, (2) is entitled to vote at the meeting and (3) has complied with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or (B) properly made such proposal in accordance with Rule 14a-8 under the Securities Exchange Act of 1934, as amended, and the rules and regulations thereunder (as so amended and inclusive of such rules and regulations, the “</w:t>
      </w:r>
      <w:r>
        <w:rPr>
          <w:rFonts w:ascii="Arial" w:cs="Arial" w:eastAsia="Arial" w:hAnsi="Arial"/>
          <w:sz w:val="17"/>
          <w:szCs w:val="17"/>
          <w:b w:val="1"/>
          <w:bCs w:val="1"/>
          <w:i w:val="1"/>
          <w:iCs w:val="1"/>
          <w:color w:val="auto"/>
        </w:rPr>
        <w:t>Exchange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which proposal has been included in the proxy statement for the annual meeting. The foregoing clause (c) shall be the exclusive means for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Stockholder to propose business to be brought before an annual meeting of the Stockholders. The only matters that may be brought before a special meeting are the matters specified in the Corporation’s notice of meeting given by or at the direction of the Person calling the meeting pursuant to the Certificate of Incorporation and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of these Bylaws. For purposes of these Bylaws,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xml:space="preserve">” shall mean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For purposes of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of these Bylaws, “</w:t>
      </w:r>
      <w:r>
        <w:rPr>
          <w:rFonts w:ascii="Arial" w:cs="Arial" w:eastAsia="Arial" w:hAnsi="Arial"/>
          <w:sz w:val="17"/>
          <w:szCs w:val="17"/>
          <w:b w:val="1"/>
          <w:bCs w:val="1"/>
          <w:i w:val="1"/>
          <w:iCs w:val="1"/>
          <w:color w:val="auto"/>
        </w:rPr>
        <w:t>present in person</w:t>
      </w:r>
      <w:r>
        <w:rPr>
          <w:rFonts w:ascii="Arial" w:cs="Arial" w:eastAsia="Arial" w:hAnsi="Arial"/>
          <w:sz w:val="17"/>
          <w:szCs w:val="17"/>
          <w:color w:val="auto"/>
        </w:rPr>
        <w:t>” shall mean that the Stockholder proposing that the business be brought before the annual meeting or special meeting of the Corporation, as applicable, or, if the proposing Stockholder is not an individual, a qualified representative of such proposing Stockholder, appear in person at such annual meeting, and a “qualified representative” of such proposing Stockholder shall be, if such proposing Stockholder is (x) a general or limited partnership, any general partner or Person who functions as a general partner of the general or limited partnership or who controls the general or limited partnership, (y) a corporation or a limited liability company, any officer or Person who functions as an officer of the corporation or limited liability company or any officer, director, general partner or Person who functions as an officer, director or general partner of any entity ultimately in control of the corporation or limited liability company or (z) a trust, any trustee of such trust.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34" w:name="page35"/>
    <w:bookmarkEnd w:id="34"/>
    <w:p>
      <w:pPr>
        <w:ind w:firstLine="436"/>
        <w:spacing w:after="0" w:line="289" w:lineRule="auto"/>
        <w:tabs>
          <w:tab w:leader="none" w:pos="695" w:val="left"/>
        </w:tabs>
        <w:numPr>
          <w:ilvl w:val="0"/>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Without qualification, for business to be properly brought before an annual meeting by a Stockholder, the Stockholder must (a) provide Timely Notice (as defined below) thereof in writing and in proper form to the Secretary of the Corporation and (b) provide any updates or supplements to such notice at the times and in the forms required by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To be timely, a Stockholder’s notice must be delivered to, or mailed and received at, the principal executive offices of the Corporation not less than ninety (90) days nor more than one hundred twenty (120) days prior to the one-year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date of the annual meeting is more than thirty (30) days before or more than sixty (60) days after such anniversary date, notice by the Stockholder to be timely must be so delivered, or mailed and received, not later than the ninetieth (90</w:t>
      </w:r>
      <w:r>
        <w:rPr>
          <w:rFonts w:ascii="Arial" w:cs="Arial" w:eastAsia="Arial" w:hAnsi="Arial"/>
          <w:sz w:val="13"/>
          <w:szCs w:val="13"/>
          <w:color w:val="auto"/>
        </w:rPr>
        <w:t>th</w:t>
      </w:r>
      <w:r>
        <w:rPr>
          <w:rFonts w:ascii="Arial" w:cs="Arial" w:eastAsia="Arial" w:hAnsi="Arial"/>
          <w:sz w:val="16"/>
          <w:szCs w:val="16"/>
          <w:color w:val="auto"/>
        </w:rPr>
        <w:t>) day prior to such annual meeting or, if later,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disclosure of the date of such annual meeting was first made (such notice within such time periods, “</w:t>
      </w:r>
      <w:r>
        <w:rPr>
          <w:rFonts w:ascii="Arial" w:cs="Arial" w:eastAsia="Arial" w:hAnsi="Arial"/>
          <w:sz w:val="16"/>
          <w:szCs w:val="16"/>
          <w:b w:val="1"/>
          <w:bCs w:val="1"/>
          <w:i w:val="1"/>
          <w:iCs w:val="1"/>
          <w:color w:val="auto"/>
        </w:rPr>
        <w:t>Timely Notice</w:t>
      </w:r>
      <w:r>
        <w:rPr>
          <w:rFonts w:ascii="Arial" w:cs="Arial" w:eastAsia="Arial" w:hAnsi="Arial"/>
          <w:sz w:val="16"/>
          <w:szCs w:val="16"/>
          <w:color w:val="auto"/>
        </w:rPr>
        <w:t>”). In no event shall any adjournment or postponement of an annual meeting or the announcement thereof commence a new time period for the giving of Timely Notice as described above.</w:t>
      </w:r>
    </w:p>
    <w:p>
      <w:pPr>
        <w:spacing w:after="0" w:line="58" w:lineRule="exact"/>
        <w:rPr>
          <w:rFonts w:ascii="Arial" w:cs="Arial" w:eastAsia="Arial" w:hAnsi="Arial"/>
          <w:sz w:val="16"/>
          <w:szCs w:val="16"/>
          <w:color w:val="auto"/>
        </w:rPr>
      </w:pPr>
    </w:p>
    <w:p>
      <w:pPr>
        <w:ind w:left="680" w:hanging="244"/>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To be in proper form for purposes of this </w:t>
      </w:r>
      <w:r>
        <w:rPr>
          <w:rFonts w:ascii="Arial" w:cs="Arial" w:eastAsia="Arial" w:hAnsi="Arial"/>
          <w:sz w:val="18"/>
          <w:szCs w:val="18"/>
          <w:u w:val="single" w:color="auto"/>
          <w:color w:val="auto"/>
        </w:rPr>
        <w:t>Section 1.13</w:t>
      </w:r>
      <w:r>
        <w:rPr>
          <w:rFonts w:ascii="Arial" w:cs="Arial" w:eastAsia="Arial" w:hAnsi="Arial"/>
          <w:sz w:val="18"/>
          <w:szCs w:val="18"/>
          <w:color w:val="auto"/>
        </w:rPr>
        <w:t>, a Stockholder’s notice to the Secretary shall set forth:</w:t>
      </w:r>
    </w:p>
    <w:p>
      <w:pPr>
        <w:spacing w:after="0" w:line="117" w:lineRule="exact"/>
        <w:rPr>
          <w:rFonts w:ascii="Arial" w:cs="Arial" w:eastAsia="Arial" w:hAnsi="Arial"/>
          <w:sz w:val="18"/>
          <w:szCs w:val="18"/>
          <w:color w:val="auto"/>
        </w:rPr>
      </w:pPr>
    </w:p>
    <w:p>
      <w:pPr>
        <w:ind w:left="440" w:firstLine="419"/>
        <w:spacing w:after="0" w:line="273" w:lineRule="auto"/>
        <w:tabs>
          <w:tab w:leader="none" w:pos="1078" w:val="left"/>
        </w:tabs>
        <w:numPr>
          <w:ilvl w:val="1"/>
          <w:numId w:val="28"/>
        </w:numPr>
        <w:rPr>
          <w:rFonts w:ascii="Arial" w:cs="Arial" w:eastAsia="Arial" w:hAnsi="Arial"/>
          <w:sz w:val="17"/>
          <w:szCs w:val="17"/>
          <w:color w:val="auto"/>
        </w:rPr>
      </w:pPr>
      <w:r>
        <w:rPr>
          <w:rFonts w:ascii="Arial" w:cs="Arial" w:eastAsia="Arial" w:hAnsi="Arial"/>
          <w:sz w:val="17"/>
          <w:szCs w:val="17"/>
          <w:color w:val="auto"/>
        </w:rPr>
        <w:t>As to each Proposing Person (as defined below), (A) the name and address of such Proposing Person (including, if applicable, the name and address that appear on the Corporation’s books and records); and (B) the number of shares of each class or series of Stock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Stock of the Corporation as to which such Proposing Person has a right to acquire beneficial ownership at any time in the future (the disclosures to be made pursuant to the foregoing clauses (A) and (B) are referred to as “</w:t>
      </w:r>
      <w:r>
        <w:rPr>
          <w:rFonts w:ascii="Arial" w:cs="Arial" w:eastAsia="Arial" w:hAnsi="Arial"/>
          <w:sz w:val="17"/>
          <w:szCs w:val="17"/>
          <w:b w:val="1"/>
          <w:bCs w:val="1"/>
          <w:i w:val="1"/>
          <w:iCs w:val="1"/>
          <w:color w:val="auto"/>
        </w:rPr>
        <w:t>Stockholder Information</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440" w:right="60" w:firstLine="419"/>
        <w:spacing w:after="0" w:line="291" w:lineRule="auto"/>
        <w:tabs>
          <w:tab w:leader="none" w:pos="1128" w:val="left"/>
        </w:tabs>
        <w:numPr>
          <w:ilvl w:val="1"/>
          <w:numId w:val="28"/>
        </w:numPr>
        <w:rPr>
          <w:rFonts w:ascii="Arial" w:cs="Arial" w:eastAsia="Arial" w:hAnsi="Arial"/>
          <w:sz w:val="16"/>
          <w:szCs w:val="16"/>
          <w:color w:val="auto"/>
        </w:rPr>
      </w:pPr>
      <w:r>
        <w:rPr>
          <w:rFonts w:ascii="Arial" w:cs="Arial" w:eastAsia="Arial" w:hAnsi="Arial"/>
          <w:sz w:val="16"/>
          <w:szCs w:val="16"/>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w:t>
      </w:r>
    </w:p>
    <w:p>
      <w:pPr>
        <w:ind w:left="440"/>
        <w:spacing w:after="0" w:line="251" w:lineRule="auto"/>
        <w:rPr>
          <w:rFonts w:ascii="Arial" w:cs="Arial" w:eastAsia="Arial" w:hAnsi="Arial"/>
          <w:sz w:val="16"/>
          <w:szCs w:val="16"/>
          <w:color w:val="auto"/>
        </w:rPr>
      </w:pPr>
      <w:r>
        <w:rPr>
          <w:rFonts w:ascii="Arial" w:cs="Arial" w:eastAsia="Arial" w:hAnsi="Arial"/>
          <w:sz w:val="18"/>
          <w:szCs w:val="18"/>
          <w:color w:val="auto"/>
        </w:rPr>
        <w:t>16a-1(b) under the Exchange Act) (“</w:t>
      </w:r>
      <w:r>
        <w:rPr>
          <w:rFonts w:ascii="Arial" w:cs="Arial" w:eastAsia="Arial" w:hAnsi="Arial"/>
          <w:sz w:val="18"/>
          <w:szCs w:val="18"/>
          <w:b w:val="1"/>
          <w:bCs w:val="1"/>
          <w:i w:val="1"/>
          <w:iCs w:val="1"/>
          <w:color w:val="auto"/>
        </w:rPr>
        <w:t>Synthetic Equity Position</w:t>
      </w:r>
      <w:r>
        <w:rPr>
          <w:rFonts w:ascii="Arial" w:cs="Arial" w:eastAsia="Arial" w:hAnsi="Arial"/>
          <w:sz w:val="18"/>
          <w:szCs w:val="18"/>
          <w:color w:val="auto"/>
        </w:rPr>
        <w:t xml:space="preserve">”) and that is, directly or indirectly, held or maintained by such Proposing Person with respect to any shares of any class or series of Stock of the 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any Proposing Person satisfying the requirements of Rule 13d-1(b)(1) under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5" w:name="page36"/>
    <w:bookmarkEnd w:id="35"/>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Stock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and (F)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(F) are referred to as “</w:t>
      </w:r>
      <w:r>
        <w:rPr>
          <w:rFonts w:ascii="Arial" w:cs="Arial" w:eastAsia="Arial" w:hAnsi="Arial"/>
          <w:sz w:val="16"/>
          <w:szCs w:val="16"/>
          <w:b w:val="1"/>
          <w:bCs w:val="1"/>
          <w:i w:val="1"/>
          <w:iCs w:val="1"/>
          <w:color w:val="auto"/>
        </w:rPr>
        <w:t>Disclosable Interests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68" w:lineRule="exact"/>
        <w:rPr>
          <w:sz w:val="20"/>
          <w:szCs w:val="20"/>
          <w:color w:val="auto"/>
        </w:rPr>
      </w:pPr>
    </w:p>
    <w:p>
      <w:pPr>
        <w:ind w:left="4" w:right="140" w:firstLine="419"/>
        <w:spacing w:after="0" w:line="286" w:lineRule="auto"/>
        <w:tabs>
          <w:tab w:leader="none" w:pos="741" w:val="left"/>
        </w:tabs>
        <w:numPr>
          <w:ilvl w:val="1"/>
          <w:numId w:val="29"/>
        </w:numPr>
        <w:rPr>
          <w:rFonts w:ascii="Arial" w:cs="Arial" w:eastAsia="Arial" w:hAnsi="Arial"/>
          <w:sz w:val="16"/>
          <w:szCs w:val="16"/>
          <w:color w:val="auto"/>
        </w:rPr>
      </w:pPr>
      <w:r>
        <w:rPr>
          <w:rFonts w:ascii="Arial" w:cs="Arial" w:eastAsia="Arial" w:hAnsi="Arial"/>
          <w:sz w:val="16"/>
          <w:szCs w:val="16"/>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the text of any proposed amendment to these Bylaws), (C) a reasonably detailed description of all agreements, arrangements and understandings</w:t>
      </w:r>
    </w:p>
    <w:p>
      <w:pPr>
        <w:spacing w:after="0" w:line="1" w:lineRule="exact"/>
        <w:rPr>
          <w:rFonts w:ascii="Arial" w:cs="Arial" w:eastAsia="Arial" w:hAnsi="Arial"/>
          <w:sz w:val="16"/>
          <w:szCs w:val="16"/>
          <w:color w:val="auto"/>
        </w:rPr>
      </w:pPr>
    </w:p>
    <w:p>
      <w:pPr>
        <w:ind w:left="4" w:right="20" w:hanging="4"/>
        <w:spacing w:after="0" w:line="252" w:lineRule="auto"/>
        <w:tabs>
          <w:tab w:leader="none" w:pos="258"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disclosures required by this </w:t>
      </w:r>
      <w:r>
        <w:rPr>
          <w:rFonts w:ascii="Arial" w:cs="Arial" w:eastAsia="Arial" w:hAnsi="Arial"/>
          <w:sz w:val="18"/>
          <w:szCs w:val="18"/>
          <w:u w:val="single" w:color="auto"/>
          <w:color w:val="auto"/>
        </w:rPr>
        <w:t>Section 1.13(c)</w:t>
      </w:r>
      <w:r>
        <w:rPr>
          <w:rFonts w:ascii="Arial" w:cs="Arial" w:eastAsia="Arial" w:hAnsi="Arial"/>
          <w:sz w:val="18"/>
          <w:szCs w:val="18"/>
          <w:color w:val="auto"/>
        </w:rPr>
        <w:t xml:space="preserve">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2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4"/>
          </w:cols>
          <w:pgMar w:left="876" w:top="274" w:right="459" w:bottom="1440" w:gutter="0" w:footer="0" w:header="0"/>
        </w:sectPr>
      </w:pPr>
    </w:p>
    <w:bookmarkStart w:id="36" w:name="page37"/>
    <w:bookmarkEnd w:id="36"/>
    <w:p>
      <w:pPr>
        <w:ind w:right="20" w:firstLine="436"/>
        <w:spacing w:after="0" w:line="259"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 purposes of this </w:t>
      </w:r>
      <w:r>
        <w:rPr>
          <w:rFonts w:ascii="Arial" w:cs="Arial" w:eastAsia="Arial" w:hAnsi="Arial"/>
          <w:sz w:val="18"/>
          <w:szCs w:val="18"/>
          <w:u w:val="single" w:color="auto"/>
          <w:color w:val="auto"/>
        </w:rPr>
        <w:t>Section 1.13</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Proposing Person</w:t>
      </w:r>
      <w:r>
        <w:rPr>
          <w:rFonts w:ascii="Arial" w:cs="Arial" w:eastAsia="Arial" w:hAnsi="Arial"/>
          <w:sz w:val="18"/>
          <w:szCs w:val="18"/>
          <w:color w:val="auto"/>
        </w:rPr>
        <w:t>” shall mean (a) the Stockholder providing the notice of business proposed to be brought before an annual meeting, (b) the beneficial owner or beneficial owners, if different, on whose behalf the notice of the business proposed to be brought before the annual meeting is made, (c) any participant (as defined in paragraphs (a)(ii)-(vi) of Instruction 3 to Item 4 of Schedule 14A) with such Stockholder in such solicitation.</w:t>
      </w:r>
    </w:p>
    <w:p>
      <w:pPr>
        <w:spacing w:after="0" w:line="78" w:lineRule="exact"/>
        <w:rPr>
          <w:rFonts w:ascii="Arial" w:cs="Arial" w:eastAsia="Arial" w:hAnsi="Arial"/>
          <w:sz w:val="18"/>
          <w:szCs w:val="18"/>
          <w:color w:val="auto"/>
        </w:rPr>
      </w:pPr>
    </w:p>
    <w:p>
      <w:pPr>
        <w:ind w:right="40" w:firstLine="436"/>
        <w:spacing w:after="0" w:line="290" w:lineRule="auto"/>
        <w:tabs>
          <w:tab w:leader="none" w:pos="685"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A Proposing Person shall update and supplement its notice to the Corporation of its intent to propose business at an annual meeting, if necessary, so that the information provided or required to be provided in such notice pursuant to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shall be true and correct as of the record date for notice of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notice of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57" w:lineRule="exact"/>
        <w:rPr>
          <w:rFonts w:ascii="Arial" w:cs="Arial" w:eastAsia="Arial" w:hAnsi="Arial"/>
          <w:sz w:val="16"/>
          <w:szCs w:val="16"/>
          <w:color w:val="auto"/>
        </w:rPr>
      </w:pPr>
    </w:p>
    <w:p>
      <w:pPr>
        <w:ind w:right="120" w:firstLine="436"/>
        <w:spacing w:after="0" w:line="279" w:lineRule="auto"/>
        <w:tabs>
          <w:tab w:leader="none" w:pos="665"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Notwithstanding anything in these Bylaws to the contrary, no business shall be conducted at an annual meeting that is not properly brought before the meeting in accordance with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The presiding officer of the meeting shall, if the facts warrant, determine that the business was not properly brought before the meeting in accordance with this </w:t>
      </w:r>
      <w:r>
        <w:rPr>
          <w:rFonts w:ascii="Arial" w:cs="Arial" w:eastAsia="Arial" w:hAnsi="Arial"/>
          <w:sz w:val="17"/>
          <w:szCs w:val="17"/>
          <w:u w:val="single" w:color="auto"/>
          <w:color w:val="auto"/>
        </w:rPr>
        <w:t>Section 1.13</w:t>
      </w:r>
      <w:r>
        <w:rPr>
          <w:rFonts w:ascii="Arial" w:cs="Arial" w:eastAsia="Arial" w:hAnsi="Arial"/>
          <w:sz w:val="17"/>
          <w:szCs w:val="17"/>
          <w:color w:val="auto"/>
        </w:rPr>
        <w:t>, and if he or she should so determine, he or she shall so declare to the meeting and any such business not properly brought before the meeting shall not be transacted.</w:t>
      </w:r>
    </w:p>
    <w:p>
      <w:pPr>
        <w:spacing w:after="0" w:line="63" w:lineRule="exact"/>
        <w:rPr>
          <w:rFonts w:ascii="Arial" w:cs="Arial" w:eastAsia="Arial" w:hAnsi="Arial"/>
          <w:sz w:val="17"/>
          <w:szCs w:val="17"/>
          <w:color w:val="auto"/>
        </w:rPr>
      </w:pPr>
    </w:p>
    <w:p>
      <w:pPr>
        <w:ind w:right="120" w:firstLine="436"/>
        <w:spacing w:after="0" w:line="259"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In addition to the requirements of this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with respect to any business proposed to be brought before an annual meeting, each Proposing Person shall comply with all applicable requirements of the Exchange Act with respect to any such business. Nothing in this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shall be deemed to affect the rights of stockholders to request inclusion of proposals in the Corporation’s proxy statement pursuant to Rule 14a-8 under the Exchange Act.</w:t>
      </w:r>
    </w:p>
    <w:p>
      <w:pPr>
        <w:spacing w:after="0" w:line="78" w:lineRule="exact"/>
        <w:rPr>
          <w:rFonts w:ascii="Arial" w:cs="Arial" w:eastAsia="Arial" w:hAnsi="Arial"/>
          <w:sz w:val="18"/>
          <w:szCs w:val="18"/>
          <w:color w:val="auto"/>
        </w:rPr>
      </w:pPr>
    </w:p>
    <w:p>
      <w:pPr>
        <w:ind w:firstLine="436"/>
        <w:spacing w:after="0" w:line="342" w:lineRule="auto"/>
        <w:tabs>
          <w:tab w:leader="none" w:pos="6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Advance Notice Procedures for Nominations of Directors.</w:t>
      </w:r>
    </w:p>
    <w:p>
      <w:pPr>
        <w:spacing w:after="0" w:line="117" w:lineRule="exact"/>
        <w:rPr>
          <w:sz w:val="20"/>
          <w:szCs w:val="20"/>
          <w:color w:val="auto"/>
        </w:rPr>
      </w:pPr>
    </w:p>
    <w:p>
      <w:pPr>
        <w:ind w:right="60" w:firstLine="436"/>
        <w:spacing w:after="0" w:line="271" w:lineRule="auto"/>
        <w:tabs>
          <w:tab w:leader="none" w:pos="685"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(a) as provided in the Stockholders Agreement (as defined below), (b) by or at the direction of the Board of Directors, including by any committee or Persons authorized to do so by the Board of Directors or these Bylaws, or (c) by a Stockholder present in person (as defined in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(1) who was a Stockholder of record of the Corporation both at the time of giving the notice provided for in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and at the time of the meeting, (2) is entitled to vote at the meeting and (3) has complied with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as to such notice and nomination. Other than as provided in the Stockholders Agreement, the foregoing clause (c) shall be the exclusive means for a Stockholder to make any nomination of a Person or Persons for election to the Board of Directors at any annual meeting or special meeting of Stockholders.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7" w:name="page38"/>
    <w:bookmarkEnd w:id="37"/>
    <w:p>
      <w:pPr>
        <w:ind w:left="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w:t>
      </w:r>
    </w:p>
    <w:p>
      <w:pPr>
        <w:spacing w:after="0" w:line="117" w:lineRule="exact"/>
        <w:rPr>
          <w:sz w:val="20"/>
          <w:szCs w:val="20"/>
          <w:color w:val="auto"/>
        </w:rPr>
      </w:pPr>
    </w:p>
    <w:p>
      <w:pPr>
        <w:ind w:left="4" w:firstLine="419"/>
        <w:spacing w:after="0" w:line="257" w:lineRule="auto"/>
        <w:tabs>
          <w:tab w:leader="none" w:pos="641"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Without qualification, for a Stockholder to make any nomination of a Person or Persons for election to the Board of Directors at an annual meeting, the Stockholder must (a) provide Timely Notice (as defined in </w:t>
      </w:r>
      <w:r>
        <w:rPr>
          <w:rFonts w:ascii="Arial" w:cs="Arial" w:eastAsia="Arial" w:hAnsi="Arial"/>
          <w:sz w:val="18"/>
          <w:szCs w:val="18"/>
          <w:u w:val="single" w:color="auto"/>
          <w:color w:val="auto"/>
        </w:rPr>
        <w:t>Section 1.13(b)</w:t>
      </w:r>
      <w:r>
        <w:rPr>
          <w:rFonts w:ascii="Arial" w:cs="Arial" w:eastAsia="Arial" w:hAnsi="Arial"/>
          <w:sz w:val="18"/>
          <w:szCs w:val="18"/>
          <w:color w:val="auto"/>
        </w:rPr>
        <w:t xml:space="preserve"> of these Bylaws) thereof in writing and in proper form to the Secretary at the principal executive offices of the Corporation, (b) provide the information, agreements and questionnaires with respect to such Stockholder and its candidate for nomination as required by this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and (c) provide any updates or supplements to such notice at the times and in the forms required by this </w:t>
      </w:r>
      <w:r>
        <w:rPr>
          <w:rFonts w:ascii="Arial" w:cs="Arial" w:eastAsia="Arial" w:hAnsi="Arial"/>
          <w:sz w:val="18"/>
          <w:szCs w:val="18"/>
          <w:u w:val="single" w:color="auto"/>
          <w:color w:val="auto"/>
        </w:rPr>
        <w:t>Section 1.14</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4" w:right="80" w:firstLine="419"/>
        <w:spacing w:after="0" w:line="285" w:lineRule="auto"/>
        <w:tabs>
          <w:tab w:leader="none" w:pos="688"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the Stockholder must (a) provide timely notice thereof in writing and in proper form to the Secretary at the principal executive offices of the Corporation, (b) provide the information, agreements and questionnaires with respect to such Stockholder and its candidate for nomination required by this </w:t>
      </w:r>
      <w:r>
        <w:rPr>
          <w:rFonts w:ascii="Arial" w:cs="Arial" w:eastAsia="Arial" w:hAnsi="Arial"/>
          <w:sz w:val="16"/>
          <w:szCs w:val="16"/>
          <w:u w:val="single" w:color="auto"/>
          <w:color w:val="auto"/>
        </w:rPr>
        <w:t>Section 1.14</w:t>
      </w:r>
      <w:r>
        <w:rPr>
          <w:rFonts w:ascii="Arial" w:cs="Arial" w:eastAsia="Arial" w:hAnsi="Arial"/>
          <w:sz w:val="16"/>
          <w:szCs w:val="16"/>
          <w:color w:val="auto"/>
        </w:rPr>
        <w:t>, and (c) provide any updates or supplements to such notice at the times and in the forms required by this</w:t>
      </w:r>
    </w:p>
    <w:p>
      <w:pPr>
        <w:spacing w:after="0" w:line="1" w:lineRule="exact"/>
        <w:rPr>
          <w:rFonts w:ascii="Arial" w:cs="Arial" w:eastAsia="Arial" w:hAnsi="Arial"/>
          <w:sz w:val="16"/>
          <w:szCs w:val="16"/>
          <w:color w:val="auto"/>
        </w:rPr>
      </w:pPr>
    </w:p>
    <w:p>
      <w:pPr>
        <w:ind w:left="4" w:right="60"/>
        <w:spacing w:after="0" w:line="273" w:lineRule="auto"/>
        <w:rPr>
          <w:rFonts w:ascii="Arial" w:cs="Arial" w:eastAsia="Arial" w:hAnsi="Arial"/>
          <w:sz w:val="16"/>
          <w:szCs w:val="16"/>
          <w:color w:val="auto"/>
        </w:rPr>
      </w:pP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To be timely for purposes of this </w:t>
      </w:r>
      <w:r>
        <w:rPr>
          <w:rFonts w:ascii="Arial" w:cs="Arial" w:eastAsia="Arial" w:hAnsi="Arial"/>
          <w:sz w:val="17"/>
          <w:szCs w:val="17"/>
          <w:u w:val="single" w:color="auto"/>
          <w:color w:val="auto"/>
        </w:rPr>
        <w:t>Section 1.14(b)(ii)</w:t>
      </w:r>
      <w:r>
        <w:rPr>
          <w:rFonts w:ascii="Arial" w:cs="Arial" w:eastAsia="Arial" w:hAnsi="Arial"/>
          <w:sz w:val="17"/>
          <w:szCs w:val="17"/>
          <w:color w:val="auto"/>
        </w:rPr>
        <w:t>, a Stockholder’s notice for nominations to be made at a special meeting must be delivered to, or mailed to and received by the Secretary of the Corporation not earlier than the one hundred twentieth (120</w:t>
      </w:r>
      <w:r>
        <w:rPr>
          <w:rFonts w:ascii="Arial" w:cs="Arial" w:eastAsia="Arial" w:hAnsi="Arial"/>
          <w:sz w:val="14"/>
          <w:szCs w:val="14"/>
          <w:color w:val="auto"/>
        </w:rPr>
        <w:t>th</w:t>
      </w:r>
      <w:r>
        <w:rPr>
          <w:rFonts w:ascii="Arial" w:cs="Arial" w:eastAsia="Arial" w:hAnsi="Arial"/>
          <w:sz w:val="17"/>
          <w:szCs w:val="17"/>
          <w:color w:val="auto"/>
        </w:rPr>
        <w:t>) day prior to such special meeting and not later than the ninetieth (90</w:t>
      </w:r>
      <w:r>
        <w:rPr>
          <w:rFonts w:ascii="Arial" w:cs="Arial" w:eastAsia="Arial" w:hAnsi="Arial"/>
          <w:sz w:val="14"/>
          <w:szCs w:val="14"/>
          <w:color w:val="auto"/>
        </w:rPr>
        <w:t>th</w:t>
      </w:r>
      <w:r>
        <w:rPr>
          <w:rFonts w:ascii="Arial" w:cs="Arial" w:eastAsia="Arial" w:hAnsi="Arial"/>
          <w:sz w:val="17"/>
          <w:szCs w:val="17"/>
          <w:color w:val="auto"/>
        </w:rPr>
        <w:t>) day prior to such special meeting or, if later, the tenth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disclosure (as defined in </w:t>
      </w:r>
      <w:r>
        <w:rPr>
          <w:rFonts w:ascii="Arial" w:cs="Arial" w:eastAsia="Arial" w:hAnsi="Arial"/>
          <w:sz w:val="17"/>
          <w:szCs w:val="17"/>
          <w:u w:val="single" w:color="auto"/>
          <w:color w:val="auto"/>
        </w:rPr>
        <w:t>Section 1.13(h)</w:t>
      </w:r>
      <w:r>
        <w:rPr>
          <w:rFonts w:ascii="Arial" w:cs="Arial" w:eastAsia="Arial" w:hAnsi="Arial"/>
          <w:sz w:val="17"/>
          <w:szCs w:val="17"/>
          <w:color w:val="auto"/>
        </w:rPr>
        <w:t>) of the date of such special meeting was first made.</w:t>
      </w:r>
    </w:p>
    <w:p>
      <w:pPr>
        <w:spacing w:after="0" w:line="68" w:lineRule="exact"/>
        <w:rPr>
          <w:rFonts w:ascii="Arial" w:cs="Arial" w:eastAsia="Arial" w:hAnsi="Arial"/>
          <w:sz w:val="16"/>
          <w:szCs w:val="16"/>
          <w:color w:val="auto"/>
        </w:rPr>
      </w:pPr>
    </w:p>
    <w:p>
      <w:pPr>
        <w:ind w:left="4" w:right="140" w:firstLine="419"/>
        <w:spacing w:after="0" w:line="277" w:lineRule="auto"/>
        <w:tabs>
          <w:tab w:leader="none" w:pos="741"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no event shall any adjournment or postponement of an annual meeting or special meeting or the announcement thereof commence a new time period for the giving of a Stockholder’s notice as described above.</w:t>
      </w:r>
    </w:p>
    <w:p>
      <w:pPr>
        <w:spacing w:after="0" w:line="62" w:lineRule="exact"/>
        <w:rPr>
          <w:rFonts w:ascii="Arial" w:cs="Arial" w:eastAsia="Arial" w:hAnsi="Arial"/>
          <w:sz w:val="18"/>
          <w:szCs w:val="18"/>
          <w:color w:val="auto"/>
        </w:rPr>
      </w:pPr>
    </w:p>
    <w:p>
      <w:pPr>
        <w:ind w:left="4" w:right="160" w:firstLine="419"/>
        <w:spacing w:after="0" w:line="287" w:lineRule="auto"/>
        <w:tabs>
          <w:tab w:leader="none" w:pos="731"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In no event may a Nominating Person (as defined below) provide notice under this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or otherwise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w:t>
      </w:r>
    </w:p>
    <w:p>
      <w:pPr>
        <w:spacing w:after="0" w:line="2" w:lineRule="exact"/>
        <w:rPr>
          <w:rFonts w:ascii="Arial" w:cs="Arial" w:eastAsia="Arial" w:hAnsi="Arial"/>
          <w:sz w:val="16"/>
          <w:szCs w:val="16"/>
          <w:color w:val="auto"/>
        </w:rPr>
      </w:pPr>
    </w:p>
    <w:p>
      <w:pPr>
        <w:ind w:left="4" w:right="260" w:hanging="4"/>
        <w:spacing w:after="0" w:line="323" w:lineRule="auto"/>
        <w:tabs>
          <w:tab w:leader="none" w:pos="218"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conclusion of the time period for Timely Notice (with respect to an annual meeting), (ii) the date set forth in </w:t>
      </w:r>
      <w:r>
        <w:rPr>
          <w:rFonts w:ascii="Arial" w:cs="Arial" w:eastAsia="Arial" w:hAnsi="Arial"/>
          <w:sz w:val="16"/>
          <w:szCs w:val="16"/>
          <w:u w:val="single" w:color="auto"/>
          <w:color w:val="auto"/>
        </w:rPr>
        <w:t>Section 1.14(b)(ii)</w:t>
      </w:r>
      <w:r>
        <w:rPr>
          <w:rFonts w:ascii="Arial" w:cs="Arial" w:eastAsia="Arial" w:hAnsi="Arial"/>
          <w:sz w:val="16"/>
          <w:szCs w:val="16"/>
          <w:color w:val="auto"/>
        </w:rPr>
        <w:t xml:space="preserve"> (with respect to a special meeting) or (iii) the tenth (10</w:t>
      </w:r>
      <w:r>
        <w:rPr>
          <w:rFonts w:ascii="Arial" w:cs="Arial" w:eastAsia="Arial" w:hAnsi="Arial"/>
          <w:sz w:val="13"/>
          <w:szCs w:val="13"/>
          <w:color w:val="auto"/>
        </w:rPr>
        <w:t>th</w:t>
      </w:r>
      <w:r>
        <w:rPr>
          <w:rFonts w:ascii="Arial" w:cs="Arial" w:eastAsia="Arial" w:hAnsi="Arial"/>
          <w:sz w:val="16"/>
          <w:szCs w:val="16"/>
          <w:color w:val="auto"/>
        </w:rPr>
        <w:t xml:space="preserve">) day following the date of public disclosure (as defined in </w:t>
      </w:r>
      <w:r>
        <w:rPr>
          <w:rFonts w:ascii="Arial" w:cs="Arial" w:eastAsia="Arial" w:hAnsi="Arial"/>
          <w:sz w:val="16"/>
          <w:szCs w:val="16"/>
          <w:u w:val="single" w:color="auto"/>
          <w:color w:val="auto"/>
        </w:rPr>
        <w:t>Section 1.13(h)</w:t>
      </w:r>
      <w:r>
        <w:rPr>
          <w:rFonts w:ascii="Arial" w:cs="Arial" w:eastAsia="Arial" w:hAnsi="Arial"/>
          <w:sz w:val="16"/>
          <w:szCs w:val="16"/>
          <w:color w:val="auto"/>
        </w:rPr>
        <w:t>) of such increase.</w:t>
      </w:r>
    </w:p>
    <w:p>
      <w:pPr>
        <w:spacing w:after="0" w:line="30" w:lineRule="exact"/>
        <w:rPr>
          <w:rFonts w:ascii="Arial" w:cs="Arial" w:eastAsia="Arial" w:hAnsi="Arial"/>
          <w:sz w:val="16"/>
          <w:szCs w:val="16"/>
          <w:color w:val="auto"/>
        </w:rPr>
      </w:pPr>
    </w:p>
    <w:p>
      <w:pPr>
        <w:ind w:left="804" w:hanging="253"/>
        <w:spacing w:after="0"/>
        <w:tabs>
          <w:tab w:leader="none" w:pos="804" w:val="left"/>
        </w:tabs>
        <w:numPr>
          <w:ilvl w:val="2"/>
          <w:numId w:val="34"/>
        </w:numPr>
        <w:rPr>
          <w:rFonts w:ascii="Arial" w:cs="Arial" w:eastAsia="Arial" w:hAnsi="Arial"/>
          <w:sz w:val="18"/>
          <w:szCs w:val="18"/>
          <w:color w:val="auto"/>
        </w:rPr>
      </w:pPr>
      <w:r>
        <w:rPr>
          <w:rFonts w:ascii="Arial" w:cs="Arial" w:eastAsia="Arial" w:hAnsi="Arial"/>
          <w:sz w:val="18"/>
          <w:szCs w:val="18"/>
          <w:color w:val="auto"/>
        </w:rPr>
        <w:t xml:space="preserve">To be in proper form for purposes of this </w:t>
      </w:r>
      <w:r>
        <w:rPr>
          <w:rFonts w:ascii="Arial" w:cs="Arial" w:eastAsia="Arial" w:hAnsi="Arial"/>
          <w:sz w:val="18"/>
          <w:szCs w:val="18"/>
          <w:u w:val="single" w:color="auto"/>
          <w:color w:val="auto"/>
        </w:rPr>
        <w:t>Section 1.14</w:t>
      </w:r>
      <w:r>
        <w:rPr>
          <w:rFonts w:ascii="Arial" w:cs="Arial" w:eastAsia="Arial" w:hAnsi="Arial"/>
          <w:sz w:val="18"/>
          <w:szCs w:val="18"/>
          <w:color w:val="auto"/>
        </w:rPr>
        <w:t>, a Stockholder’s notice to the Secretary shall set forth:</w:t>
      </w:r>
    </w:p>
    <w:p>
      <w:pPr>
        <w:spacing w:after="0" w:line="15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4"/>
          </w:cols>
          <w:pgMar w:left="876" w:top="274" w:right="459" w:bottom="1440" w:gutter="0" w:footer="0" w:header="0"/>
        </w:sectPr>
      </w:pPr>
    </w:p>
    <w:bookmarkStart w:id="38" w:name="page39"/>
    <w:bookmarkEnd w:id="38"/>
    <w:p>
      <w:pPr>
        <w:ind w:left="980" w:right="20" w:firstLine="408"/>
        <w:spacing w:after="0" w:line="263" w:lineRule="auto"/>
        <w:tabs>
          <w:tab w:leader="none" w:pos="1596" w:val="left"/>
        </w:tabs>
        <w:numPr>
          <w:ilvl w:val="1"/>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As to each Nominating Person, the Stockholder Information (as defined in </w:t>
      </w:r>
      <w:r>
        <w:rPr>
          <w:rFonts w:ascii="Arial" w:cs="Arial" w:eastAsia="Arial" w:hAnsi="Arial"/>
          <w:sz w:val="18"/>
          <w:szCs w:val="18"/>
          <w:u w:val="single" w:color="auto"/>
          <w:color w:val="auto"/>
        </w:rPr>
        <w:t>Section 1.13(c)(i)</w:t>
      </w:r>
      <w:r>
        <w:rPr>
          <w:rFonts w:ascii="Arial" w:cs="Arial" w:eastAsia="Arial" w:hAnsi="Arial"/>
          <w:sz w:val="18"/>
          <w:szCs w:val="18"/>
          <w:color w:val="auto"/>
        </w:rPr>
        <w:t xml:space="preserve"> of these Bylaws) except that for purposes of this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the term “Nominating Person” shall be substituted for the term “Proposing Person” in all places it appears in </w:t>
      </w:r>
      <w:r>
        <w:rPr>
          <w:rFonts w:ascii="Arial" w:cs="Arial" w:eastAsia="Arial" w:hAnsi="Arial"/>
          <w:sz w:val="18"/>
          <w:szCs w:val="18"/>
          <w:u w:val="single" w:color="auto"/>
          <w:color w:val="auto"/>
        </w:rPr>
        <w:t>Section 1.13(c)(i)</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80" w:right="120" w:firstLine="408"/>
        <w:spacing w:after="0" w:line="291" w:lineRule="auto"/>
        <w:tabs>
          <w:tab w:leader="none" w:pos="1646"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As to each Nominating Person, any Disclosable Interests (as defined in </w:t>
      </w:r>
      <w:r>
        <w:rPr>
          <w:rFonts w:ascii="Arial" w:cs="Arial" w:eastAsia="Arial" w:hAnsi="Arial"/>
          <w:sz w:val="16"/>
          <w:szCs w:val="16"/>
          <w:u w:val="single" w:color="auto"/>
          <w:color w:val="auto"/>
        </w:rPr>
        <w:t>Section 1.13(c)(ii)</w:t>
      </w:r>
      <w:r>
        <w:rPr>
          <w:rFonts w:ascii="Arial" w:cs="Arial" w:eastAsia="Arial" w:hAnsi="Arial"/>
          <w:sz w:val="16"/>
          <w:szCs w:val="16"/>
          <w:color w:val="auto"/>
        </w:rPr>
        <w:t xml:space="preserve">, except that for purposes of this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the term “Nominating Person” shall be substituted for the term “Proposing Person” in all places it appears in </w:t>
      </w:r>
      <w:r>
        <w:rPr>
          <w:rFonts w:ascii="Arial" w:cs="Arial" w:eastAsia="Arial" w:hAnsi="Arial"/>
          <w:sz w:val="16"/>
          <w:szCs w:val="16"/>
          <w:u w:val="single" w:color="auto"/>
          <w:color w:val="auto"/>
        </w:rPr>
        <w:t>Section 1.13(c)</w:t>
      </w:r>
    </w:p>
    <w:p>
      <w:pPr>
        <w:ind w:left="980" w:right="280" w:firstLine="7"/>
        <w:spacing w:after="0" w:line="260" w:lineRule="auto"/>
        <w:tabs>
          <w:tab w:leader="none" w:pos="1245" w:val="left"/>
        </w:tabs>
        <w:numPr>
          <w:ilvl w:val="0"/>
          <w:numId w:val="36"/>
        </w:numPr>
        <w:rPr>
          <w:rFonts w:ascii="Arial" w:cs="Arial" w:eastAsia="Arial" w:hAnsi="Arial"/>
          <w:sz w:val="18"/>
          <w:szCs w:val="18"/>
          <w:u w:val="single" w:color="auto"/>
          <w:color w:val="auto"/>
        </w:rPr>
      </w:pPr>
      <w:r>
        <w:rPr>
          <w:rFonts w:ascii="Arial" w:cs="Arial" w:eastAsia="Arial" w:hAnsi="Arial"/>
          <w:sz w:val="18"/>
          <w:szCs w:val="18"/>
          <w:color w:val="auto"/>
        </w:rPr>
        <w:t xml:space="preserve">and the disclosure with respect to the business to be brought before the meeting in </w:t>
      </w:r>
      <w:r>
        <w:rPr>
          <w:rFonts w:ascii="Arial" w:cs="Arial" w:eastAsia="Arial" w:hAnsi="Arial"/>
          <w:sz w:val="18"/>
          <w:szCs w:val="18"/>
          <w:u w:val="single" w:color="auto"/>
          <w:color w:val="auto"/>
        </w:rPr>
        <w:t>Section 1.13(c)(iii)</w:t>
      </w:r>
      <w:r>
        <w:rPr>
          <w:rFonts w:ascii="Arial" w:cs="Arial" w:eastAsia="Arial" w:hAnsi="Arial"/>
          <w:sz w:val="18"/>
          <w:szCs w:val="18"/>
          <w:color w:val="auto"/>
        </w:rPr>
        <w:t xml:space="preserve"> shall be made with respect to nomination of each Person for election as a director at the meeting); and</w:t>
      </w:r>
    </w:p>
    <w:p>
      <w:pPr>
        <w:spacing w:after="0" w:line="77" w:lineRule="exact"/>
        <w:rPr>
          <w:rFonts w:ascii="Arial" w:cs="Arial" w:eastAsia="Arial" w:hAnsi="Arial"/>
          <w:sz w:val="18"/>
          <w:szCs w:val="18"/>
          <w:u w:val="single" w:color="auto"/>
          <w:color w:val="auto"/>
        </w:rPr>
      </w:pPr>
    </w:p>
    <w:p>
      <w:pPr>
        <w:ind w:left="980" w:firstLine="408"/>
        <w:spacing w:after="0" w:line="269" w:lineRule="auto"/>
        <w:tabs>
          <w:tab w:leader="none" w:pos="1696"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As to each candidate whom a Nominating Person proposes to nominate for election as a director, (A) all information with respect to such candidate for nomination that would be required to be set forth in a Stockholder’s notice pursuant to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Corporation’s proxy statement as a nominee and to serving as a director if elected), (C) a description of any direct or indirect material interest in any material contract or agreement between or among any Nominating Person, on the one hand, and each candidate for nomination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Arial" w:cs="Arial" w:eastAsia="Arial" w:hAnsi="Arial"/>
          <w:sz w:val="17"/>
          <w:szCs w:val="17"/>
          <w:b w:val="1"/>
          <w:bCs w:val="1"/>
          <w:i w:val="1"/>
          <w:iCs w:val="1"/>
          <w:color w:val="auto"/>
        </w:rPr>
        <w:t>Nominee Information</w:t>
      </w:r>
      <w:r>
        <w:rPr>
          <w:rFonts w:ascii="Arial" w:cs="Arial" w:eastAsia="Arial" w:hAnsi="Arial"/>
          <w:sz w:val="17"/>
          <w:szCs w:val="17"/>
          <w:color w:val="auto"/>
        </w:rPr>
        <w:t xml:space="preserve">”), and (D) a completed and signed questionnaire, representation and agreement as provided in </w:t>
      </w:r>
      <w:r>
        <w:rPr>
          <w:rFonts w:ascii="Arial" w:cs="Arial" w:eastAsia="Arial" w:hAnsi="Arial"/>
          <w:sz w:val="17"/>
          <w:szCs w:val="17"/>
          <w:u w:val="single" w:color="auto"/>
          <w:color w:val="auto"/>
        </w:rPr>
        <w:t>Section 1.14(f)</w:t>
      </w:r>
      <w:r>
        <w:rPr>
          <w:rFonts w:ascii="Arial" w:cs="Arial" w:eastAsia="Arial" w:hAnsi="Arial"/>
          <w:sz w:val="17"/>
          <w:szCs w:val="17"/>
          <w:color w:val="auto"/>
        </w:rPr>
        <w:t>.</w:t>
      </w:r>
    </w:p>
    <w:p>
      <w:pPr>
        <w:spacing w:after="0" w:line="71" w:lineRule="exact"/>
        <w:rPr>
          <w:sz w:val="20"/>
          <w:szCs w:val="20"/>
          <w:color w:val="auto"/>
        </w:rPr>
      </w:pPr>
    </w:p>
    <w:p>
      <w:pPr>
        <w:ind w:right="60" w:firstLine="987"/>
        <w:spacing w:after="0" w:line="263" w:lineRule="auto"/>
        <w:tabs>
          <w:tab w:leader="none" w:pos="12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1.14</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Nominating Person</w:t>
      </w:r>
      <w:r>
        <w:rPr>
          <w:rFonts w:ascii="Arial" w:cs="Arial" w:eastAsia="Arial" w:hAnsi="Arial"/>
          <w:sz w:val="18"/>
          <w:szCs w:val="18"/>
          <w:color w:val="auto"/>
        </w:rPr>
        <w:t>” shall mean (a) the Stockholder providing the notice of the nomination proposed to be made at the meeting, (b) the beneficial owner or beneficial owners, if different, on whose behalf the notice of the nomination proposed to be made at the meeting is made and (c) any other participant in such solicitation.</w:t>
      </w:r>
    </w:p>
    <w:p>
      <w:pPr>
        <w:spacing w:after="0" w:line="75" w:lineRule="exact"/>
        <w:rPr>
          <w:rFonts w:ascii="Arial" w:cs="Arial" w:eastAsia="Arial" w:hAnsi="Arial"/>
          <w:sz w:val="18"/>
          <w:szCs w:val="18"/>
          <w:color w:val="auto"/>
        </w:rPr>
      </w:pPr>
    </w:p>
    <w:p>
      <w:pPr>
        <w:ind w:right="140" w:firstLine="987"/>
        <w:spacing w:after="0" w:line="255" w:lineRule="auto"/>
        <w:tabs>
          <w:tab w:leader="none" w:pos="12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 Stockholder providing notice of any nomination proposed to be made at a meeting shall further update and supplement such notice, if necessary, so that the information provided or required to be provided in such notice pursuant to this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shall be true and correct as of the record date for notice of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notice of the meeting (in the case of the update and supplement required to be made as of such record date),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9" w:name="page40"/>
    <w:bookmarkEnd w:id="39"/>
    <w:p>
      <w:pPr>
        <w:ind w:left="4" w:right="5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41" w:lineRule="exact"/>
        <w:rPr>
          <w:sz w:val="20"/>
          <w:szCs w:val="20"/>
          <w:color w:val="auto"/>
        </w:rPr>
      </w:pPr>
    </w:p>
    <w:p>
      <w:pPr>
        <w:ind w:left="4" w:right="40" w:firstLine="987"/>
        <w:spacing w:after="0" w:line="284" w:lineRule="auto"/>
        <w:tabs>
          <w:tab w:leader="none" w:pos="12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To be eligible to be a candidate for election as a director of the Corporation at an annual or special meeting, a candidate must be nominated in the manner prescribed in this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and the candidate for nomination, whether nominated by the Board of Directors or by a Stockholder of record, must have previously delivered (in accordance with the time period prescribed for delivery in a notice to such candidate given by or on behalf of the Board of Directors), to the Secretary at the principal executive offices of the Corporation, (a) a completed written questionnaire (in the form provided by the Corporation) with respect to the background, qualifications, stock ownership and independence of such candidate for nomination and (b) a written representation and agreement (in the form provided by the Corporation) that such candidate for nomination (A) is not, and will not become a party to, any agreement, arrangement or understanding with any Person or entity other than the Corporation with respect to any direct or indirect compensation or reimbursement for service as a director of the Corporation that has not been disclosed in such written questionnaire and</w:t>
      </w:r>
    </w:p>
    <w:p>
      <w:pPr>
        <w:ind w:left="4" w:hanging="4"/>
        <w:spacing w:after="0" w:line="253" w:lineRule="auto"/>
        <w:tabs>
          <w:tab w:leader="none" w:pos="2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elected as a director of the Corporation, will comply with all applicable corporate governance, conflict of interest, confidentiality, stock ownership and trading and other policies and guidelines of the Corporation applicable to all directors and in effect during such Person’s term in office as a director (and, if requested by any candidate for nomination, the Secretary of the Corporation shall provide to such candidate for nomination all such policies and guidelines then in effect).</w:t>
      </w:r>
    </w:p>
    <w:p>
      <w:pPr>
        <w:spacing w:after="0" w:line="84" w:lineRule="exact"/>
        <w:rPr>
          <w:rFonts w:ascii="Arial" w:cs="Arial" w:eastAsia="Arial" w:hAnsi="Arial"/>
          <w:sz w:val="18"/>
          <w:szCs w:val="18"/>
          <w:color w:val="auto"/>
        </w:rPr>
      </w:pPr>
    </w:p>
    <w:p>
      <w:pPr>
        <w:ind w:left="4" w:right="20" w:firstLine="987"/>
        <w:spacing w:after="0" w:line="259" w:lineRule="auto"/>
        <w:tabs>
          <w:tab w:leader="none" w:pos="125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in order for the Board of Directors to determine the eligibility of such candidate for nomination to be an independent director of the Corporation in accordance with the Corporation’s Corporate Governance Guidelines.</w:t>
      </w:r>
    </w:p>
    <w:p>
      <w:pPr>
        <w:spacing w:after="0" w:line="78" w:lineRule="exact"/>
        <w:rPr>
          <w:rFonts w:ascii="Arial" w:cs="Arial" w:eastAsia="Arial" w:hAnsi="Arial"/>
          <w:sz w:val="18"/>
          <w:szCs w:val="18"/>
          <w:color w:val="auto"/>
        </w:rPr>
      </w:pPr>
    </w:p>
    <w:p>
      <w:pPr>
        <w:ind w:left="4" w:right="140" w:firstLine="987"/>
        <w:spacing w:after="0" w:line="277" w:lineRule="auto"/>
        <w:tabs>
          <w:tab w:leader="none" w:pos="125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In addition to the requirements of this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with respect to any nomination proposed to be made at a meeting, each Proposing Person shall comply with all applicable requirements of the Exchange Act with respect to any such nominations.</w:t>
      </w:r>
    </w:p>
    <w:p>
      <w:pPr>
        <w:spacing w:after="0" w:line="62" w:lineRule="exact"/>
        <w:rPr>
          <w:rFonts w:ascii="Arial" w:cs="Arial" w:eastAsia="Arial" w:hAnsi="Arial"/>
          <w:sz w:val="18"/>
          <w:szCs w:val="18"/>
          <w:color w:val="auto"/>
        </w:rPr>
      </w:pPr>
    </w:p>
    <w:p>
      <w:pPr>
        <w:ind w:left="4" w:firstLine="987"/>
        <w:spacing w:after="0" w:line="255" w:lineRule="auto"/>
        <w:tabs>
          <w:tab w:leader="none" w:pos="121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No candidate shall be eligible for nomination as a director of the Corporation unless such candidate for nomination and the Nominating Person seeking to place such candidate’s name in nomination has complied with this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as applicable. The presiding officer at the meeting shall, if the facts warrant, determine that a nomination was not properly made in accordance with this </w:t>
      </w:r>
      <w:r>
        <w:rPr>
          <w:rFonts w:ascii="Arial" w:cs="Arial" w:eastAsia="Arial" w:hAnsi="Arial"/>
          <w:sz w:val="18"/>
          <w:szCs w:val="18"/>
          <w:u w:val="single" w:color="auto"/>
          <w:color w:val="auto"/>
        </w:rPr>
        <w:t>Section 1.14</w:t>
      </w:r>
      <w:r>
        <w:rPr>
          <w:rFonts w:ascii="Arial" w:cs="Arial" w:eastAsia="Arial" w:hAnsi="Arial"/>
          <w:sz w:val="18"/>
          <w:szCs w:val="18"/>
          <w:color w:val="auto"/>
        </w:rPr>
        <w:t>,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case for the nominee in question) shall be void and of no force or effect.</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40" w:name="page41"/>
    <w:bookmarkEnd w:id="40"/>
    <w:p>
      <w:pPr>
        <w:ind w:right="60" w:firstLine="987"/>
        <w:spacing w:after="0" w:line="277" w:lineRule="auto"/>
        <w:tabs>
          <w:tab w:leader="none" w:pos="1206"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Notwithstanding anything in these Bylaws to the contrary, no candidate for nomination shall be eligible to be seated as a director of the Corporation unless nominated and elected in accordance with this </w:t>
      </w:r>
      <w:r>
        <w:rPr>
          <w:rFonts w:ascii="Arial" w:cs="Arial" w:eastAsia="Arial" w:hAnsi="Arial"/>
          <w:sz w:val="18"/>
          <w:szCs w:val="18"/>
          <w:u w:val="single" w:color="auto"/>
          <w:color w:val="auto"/>
        </w:rPr>
        <w:t>Section 1.14</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0" w:firstLine="987"/>
        <w:spacing w:after="0" w:line="277" w:lineRule="auto"/>
        <w:tabs>
          <w:tab w:leader="none" w:pos="12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Notwithstanding anything in these Bylaws to the contrary, for so long as Centerbridge is entitled to nominate a Director pursuant to the Stockholders Agreement, Centerbridge shall not be subject to the notice procedures set forth in this </w:t>
      </w:r>
      <w:r>
        <w:rPr>
          <w:rFonts w:ascii="Arial" w:cs="Arial" w:eastAsia="Arial" w:hAnsi="Arial"/>
          <w:sz w:val="18"/>
          <w:szCs w:val="18"/>
          <w:u w:val="single" w:color="auto"/>
          <w:color w:val="auto"/>
        </w:rPr>
        <w:t>Section 1.14</w:t>
      </w:r>
      <w:r>
        <w:rPr>
          <w:rFonts w:ascii="Arial" w:cs="Arial" w:eastAsia="Arial" w:hAnsi="Arial"/>
          <w:sz w:val="18"/>
          <w:szCs w:val="18"/>
          <w:color w:val="auto"/>
        </w:rPr>
        <w: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BOARD OF DIRECTORS</w:t>
      </w:r>
    </w:p>
    <w:p>
      <w:pPr>
        <w:spacing w:after="0" w:line="21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Number; Tenure; Qualifications</w:t>
      </w:r>
      <w:r>
        <w:rPr>
          <w:rFonts w:ascii="Arial" w:cs="Arial" w:eastAsia="Arial" w:hAnsi="Arial"/>
          <w:sz w:val="17"/>
          <w:szCs w:val="17"/>
          <w:color w:val="auto"/>
        </w:rPr>
        <w:t>. Subject to the Certificate of Incorporation, the rights of holders of any series of Preferred Stock to elect directors and that certain stockholders agreement, dated as of the date hereof, by and among the Corporation and the other persons party thereto (as may be amended from time to time, the “</w:t>
      </w:r>
      <w:r>
        <w:rPr>
          <w:rFonts w:ascii="Arial" w:cs="Arial" w:eastAsia="Arial" w:hAnsi="Arial"/>
          <w:sz w:val="17"/>
          <w:szCs w:val="17"/>
          <w:b w:val="1"/>
          <w:bCs w:val="1"/>
          <w:i w:val="1"/>
          <w:iCs w:val="1"/>
          <w:color w:val="auto"/>
        </w:rPr>
        <w:t>Stockholders Agreement</w:t>
      </w:r>
      <w:r>
        <w:rPr>
          <w:rFonts w:ascii="Arial" w:cs="Arial" w:eastAsia="Arial" w:hAnsi="Arial"/>
          <w:sz w:val="17"/>
          <w:szCs w:val="17"/>
          <w:color w:val="auto"/>
        </w:rPr>
        <w:t>”), the total number of directors constituting the entire Board of Directors shall be fixed from time to time exclusively by resolution adopted by a majority of the Whole Board of Directors. The directors shall be classified in the manner provided in the Certificate of Incorporation. Each director shall hold office until such time as provided in the Certificate of Incorporation. Directors need not be Stockholders to be qualified for election or service as a director of the Corporation.</w:t>
      </w:r>
    </w:p>
    <w:p>
      <w:pPr>
        <w:spacing w:after="0" w:line="178"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Election; Resignation; Removal; Vacancies</w:t>
      </w:r>
      <w:r>
        <w:rPr>
          <w:rFonts w:ascii="Arial" w:cs="Arial" w:eastAsia="Arial" w:hAnsi="Arial"/>
          <w:sz w:val="16"/>
          <w:szCs w:val="16"/>
          <w:color w:val="auto"/>
        </w:rPr>
        <w:t>. Except as otherwise provided in the Certificate of Incorporation or these Bylaws, directors shall be elected at the annual meeting of Stockholders by such Stockholders that have the right to vote on such election. Any director may resign at any time upon written or electronic notice to the Corporation. Such resignation shall be effective upon delivery unless otherwise specified. Directors of the Corporation may be removed only as expressly provided in the Certificate of Incorporation. Newly created directorships resulting from any increase in the authorized number of directors or any vacancies on the Board of Directors resulting from the death, resignation, disqualification, removal from office or other cause shall be filled as set forth in the Certificate of Incorporation. Any director so chosen shall hold office until the next election of the class for which such director shall have been chosen and until his successor shall be elected and qualified.</w:t>
      </w:r>
    </w:p>
    <w:p>
      <w:pPr>
        <w:spacing w:after="0" w:line="166" w:lineRule="exact"/>
        <w:rPr>
          <w:sz w:val="20"/>
          <w:szCs w:val="20"/>
          <w:color w:val="auto"/>
        </w:rPr>
      </w:pPr>
    </w:p>
    <w:p>
      <w:pPr>
        <w:ind w:right="440" w:firstLine="440"/>
        <w:spacing w:after="0" w:line="342"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Regular Meetings</w:t>
      </w:r>
      <w:r>
        <w:rPr>
          <w:rFonts w:ascii="Arial" w:cs="Arial" w:eastAsia="Arial" w:hAnsi="Arial"/>
          <w:sz w:val="16"/>
          <w:szCs w:val="16"/>
          <w:color w:val="auto"/>
        </w:rPr>
        <w:t>. Regular meetings of the Board of Directors may be held at such places, if any, within or without the State of Delaware, and at such times as the Board of Directors may from time to time determine. A notice of regular meetings shall not be required.</w:t>
      </w:r>
    </w:p>
    <w:p>
      <w:pPr>
        <w:spacing w:after="0" w:line="124" w:lineRule="exact"/>
        <w:rPr>
          <w:sz w:val="20"/>
          <w:szCs w:val="20"/>
          <w:color w:val="auto"/>
        </w:rPr>
      </w:pPr>
    </w:p>
    <w:p>
      <w:pPr>
        <w:ind w:right="160" w:firstLine="440"/>
        <w:spacing w:after="0" w:line="272"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a Chairperson or a majority of the directors then in office and shall be held at such time, date and place, if any, within or without the State of Delaware as he or she or they shall fix. Notice to directors of the date, place and time of any special meeting of the Board of Directors shall be given to each director by the Secretary or by the officer or one of the directors calling the meeting. Notice may be given in person, by United States first-class mail, or by e-mail, telephone, telecopier, facsimile or other means of electronic transmission. If the notice is delivered in person, by e-mail, telephone, telecopier, facsimile or other means of electronic transmission, it shall be delivered or sent at least twenty-four (24) hours before the time of holding of the meeting. If the notice is sent by mail, it shall be deposited in the United States mail at least four (4) days before the time of the holding of the meeting.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41" w:name="page42"/>
    <w:bookmarkEnd w:id="41"/>
    <w:p>
      <w:pPr>
        <w:ind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2.05 </w:t>
      </w:r>
      <w:r>
        <w:rPr>
          <w:rFonts w:ascii="Arial" w:cs="Arial" w:eastAsia="Arial" w:hAnsi="Arial"/>
          <w:sz w:val="17"/>
          <w:szCs w:val="17"/>
          <w:u w:val="single" w:color="auto"/>
          <w:color w:val="auto"/>
        </w:rPr>
        <w:t>Telephonic Meetings Permitted</w:t>
      </w:r>
      <w:r>
        <w:rPr>
          <w:rFonts w:ascii="Arial" w:cs="Arial" w:eastAsia="Arial" w:hAnsi="Arial"/>
          <w:sz w:val="17"/>
          <w:szCs w:val="17"/>
          <w:color w:val="auto"/>
        </w:rPr>
        <w:t xml:space="preserve">. Members of the Board of Directors may participate in any meetings of the Board of Directors thereof by means of conference telephone or other communications equipment by means of which all persons participating in the meeting can hear each other, and participation in a meeting pursuant to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shall constitute presence in person at such meeting.</w:t>
      </w:r>
    </w:p>
    <w:p>
      <w:pPr>
        <w:spacing w:after="0" w:line="165"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Quorum; Vote Required for Action</w:t>
      </w:r>
      <w:r>
        <w:rPr>
          <w:rFonts w:ascii="Arial" w:cs="Arial" w:eastAsia="Arial" w:hAnsi="Arial"/>
          <w:sz w:val="17"/>
          <w:szCs w:val="17"/>
          <w:color w:val="auto"/>
        </w:rPr>
        <w:t xml:space="preserve">. At all meetings of the Board of Directors a majority of the Whole Board of Directors shall constitute a quorum for the transaction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solely for the purposes of filling vacancies pursuant to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of these Bylaws, a meeting of the Board of Directors may be held if a majority of the directors then in office participate in such meeting. The affirmative vote of a majority of the directors present at any meeting of the Board of Directors at which a quorum is present shall be the act of the Board of Directors, except as may be otherwise specifically required by applicable law, the Certificate of Incorporation or these Bylaws.</w:t>
      </w:r>
    </w:p>
    <w:p>
      <w:pPr>
        <w:spacing w:after="0" w:line="176"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Organization</w:t>
      </w:r>
      <w:r>
        <w:rPr>
          <w:rFonts w:ascii="Arial" w:cs="Arial" w:eastAsia="Arial" w:hAnsi="Arial"/>
          <w:sz w:val="18"/>
          <w:szCs w:val="18"/>
          <w:color w:val="auto"/>
        </w:rPr>
        <w:t>. Meetings of the Board of Directors shall be presided over by at least one Chairperson, or in his, her or their absence by the person whom a Chairperson shall designate, or in the absence of the foregoing persons by a chairperson chosen at the meeting by the affirmative vote of a majority of the directors present at the meeting. The Secretary shall act as secretary of the meeting, but in his or her absence the chairperson of the meeting may appoint any person to act as secretary of the meeting.</w:t>
      </w:r>
    </w:p>
    <w:p>
      <w:pPr>
        <w:spacing w:after="0" w:line="18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Action by Unanimous Consent of Directors</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Thereafter, the writing or writings or electronic transmissions shall be filed with the minutes of proceedings of the Board of Directors or such committee in accordance with applicable law.</w:t>
      </w:r>
    </w:p>
    <w:p>
      <w:pPr>
        <w:spacing w:after="0" w:line="188"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or other compensation as a director. No such payment shall preclude any director from serving the Corporation in any other capacity and receiving compensation therefor. Members of special or standing committees may be allowed compensation for attending committee meetings. Any director of the Corporation may decline any or all such compensation payable to such director in his or her discretion.</w:t>
      </w:r>
    </w:p>
    <w:p>
      <w:pPr>
        <w:spacing w:after="0" w:line="178" w:lineRule="exact"/>
        <w:rPr>
          <w:sz w:val="20"/>
          <w:szCs w:val="20"/>
          <w:color w:val="auto"/>
        </w:rPr>
      </w:pPr>
    </w:p>
    <w:p>
      <w:pPr>
        <w:ind w:right="420" w:firstLine="440"/>
        <w:spacing w:after="0" w:line="311"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Chairpersons</w:t>
      </w:r>
      <w:r>
        <w:rPr>
          <w:rFonts w:ascii="Arial" w:cs="Arial" w:eastAsia="Arial" w:hAnsi="Arial"/>
          <w:sz w:val="16"/>
          <w:szCs w:val="16"/>
          <w:color w:val="auto"/>
        </w:rPr>
        <w:t>. Subject to the Stockholders Agreement, the Board of Directors may appoint from its members a Chairperson or Chairpersons of the Board of Directors. The Board of Directors may, in its sole discretion, from time to time appoint one or more vice chairpersons (each, a “</w:t>
      </w:r>
      <w:r>
        <w:rPr>
          <w:rFonts w:ascii="Arial" w:cs="Arial" w:eastAsia="Arial" w:hAnsi="Arial"/>
          <w:sz w:val="16"/>
          <w:szCs w:val="16"/>
          <w:b w:val="1"/>
          <w:bCs w:val="1"/>
          <w:i w:val="1"/>
          <w:iCs w:val="1"/>
          <w:color w:val="auto"/>
        </w:rPr>
        <w:t>Vice Chairperson</w:t>
      </w:r>
      <w:r>
        <w:rPr>
          <w:rFonts w:ascii="Arial" w:cs="Arial" w:eastAsia="Arial" w:hAnsi="Arial"/>
          <w:sz w:val="16"/>
          <w:szCs w:val="16"/>
          <w:color w:val="auto"/>
        </w:rPr>
        <w:t>”) each of whom as such shall report directly to the Chairperson or Chairpersons, as applicable.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COMMITTEES</w:t>
      </w:r>
    </w:p>
    <w:p>
      <w:pPr>
        <w:spacing w:after="0" w:line="211"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Committees</w:t>
      </w:r>
      <w:r>
        <w:rPr>
          <w:rFonts w:ascii="Arial" w:cs="Arial" w:eastAsia="Arial" w:hAnsi="Arial"/>
          <w:sz w:val="17"/>
          <w:szCs w:val="17"/>
          <w:color w:val="auto"/>
        </w:rPr>
        <w:t>. With the affirmative vote of a majority of the Whole Board of Directors,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such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 Except as otherwise provided in the Certificate of Incorporation, these Bylaws, or the resolution of the Board of Directors designating the committee (or resolution of the committee designating the subcommittee, if applicable), a majority of the directors then serving on a committee or subcommittee shall constitute a quorum for the transaction of business, and the vote of a majority of the members of the committee or subcommittee present at a meeting at which a quorum is present shall be the act of the committee or subcommittee. Special meetings of any committee of the Board of Directors may be held at any time or place, if any, within or without the State of Delaware whenever called by the Chairperson of such committee or a majority of the members of such committee.</w:t>
      </w:r>
    </w:p>
    <w:p>
      <w:pPr>
        <w:spacing w:after="0" w:line="18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Committee Minutes</w:t>
      </w:r>
      <w:r>
        <w:rPr>
          <w:rFonts w:ascii="Arial" w:cs="Arial" w:eastAsia="Arial" w:hAnsi="Arial"/>
          <w:sz w:val="18"/>
          <w:szCs w:val="18"/>
          <w:color w:val="auto"/>
        </w:rPr>
        <w:t>. Each committee shall keep regular minutes of its meetings and report the same to the Board of Directors when required.</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Committee Rules</w:t>
      </w:r>
      <w:r>
        <w:rPr>
          <w:rFonts w:ascii="Arial" w:cs="Arial" w:eastAsia="Arial" w:hAnsi="Arial"/>
          <w:sz w:val="18"/>
          <w:szCs w:val="18"/>
          <w:color w:val="auto"/>
        </w:rPr>
        <w:t xml:space="preserve">.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of these Bylaws.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w:t>
      </w:r>
    </w:p>
    <w:p>
      <w:pPr>
        <w:spacing w:after="0" w:line="211"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Officers</w:t>
      </w:r>
      <w:r>
        <w:rPr>
          <w:rFonts w:ascii="Arial" w:cs="Arial" w:eastAsia="Arial" w:hAnsi="Arial"/>
          <w:sz w:val="18"/>
          <w:szCs w:val="18"/>
          <w:color w:val="auto"/>
        </w:rPr>
        <w:t>. The officers of the Corporation shall be a Chief Executive Officer, a President and a Secretary. The Corporation may also have, at the discretion of the Board of Directors, a Chairperson or Chairpersons of the Board of Directors, a Vice Chairperson of the Board of Directors, a Chief Financial Officer, a Treasurer, one (1) or more Assistant Secretaries, and any such other officers as may be appointed in accordance with the provisions of these Bylaws. Each officer of the Corporation shall hold office for such term as may be prescribed by the Board of Directors and until his or her successor is duly elected and qualified or until his or her earlier death, resignation or removal. No officer need be a stockholder or director of the Corporation.</w:t>
      </w:r>
    </w:p>
    <w:p>
      <w:pPr>
        <w:spacing w:after="0" w:line="192"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Appointment of Officers</w:t>
      </w:r>
      <w:r>
        <w:rPr>
          <w:rFonts w:ascii="Arial" w:cs="Arial" w:eastAsia="Arial" w:hAnsi="Arial"/>
          <w:sz w:val="18"/>
          <w:szCs w:val="18"/>
          <w:color w:val="auto"/>
        </w:rPr>
        <w:t xml:space="preserve">. The Board of Directors shall appoint the officers of the Corporation, except such officers as may be appointed in accordance with the provisions of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of these Bylaws.</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Subordinate Officer</w:t>
      </w:r>
      <w:r>
        <w:rPr>
          <w:rFonts w:ascii="Arial" w:cs="Arial" w:eastAsia="Arial" w:hAnsi="Arial"/>
          <w:sz w:val="18"/>
          <w:szCs w:val="18"/>
          <w:color w:val="auto"/>
        </w:rPr>
        <w:t>. The Board of Directors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of Directors may from time to time determine.</w:t>
      </w:r>
    </w:p>
    <w:p>
      <w:pPr>
        <w:spacing w:after="0" w:line="187"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u w:val="single" w:color="auto"/>
          <w:color w:val="auto"/>
        </w:rPr>
        <w:t>Removal and Resignation of Officers</w:t>
      </w:r>
      <w:r>
        <w:rPr>
          <w:rFonts w:ascii="Arial" w:cs="Arial" w:eastAsia="Arial" w:hAnsi="Arial"/>
          <w:sz w:val="17"/>
          <w:szCs w:val="17"/>
          <w:color w:val="auto"/>
        </w:rPr>
        <w:t>. Any officer may be removed, either with or without cause, by an affirmative vote of the Board of Directors at any regular or special meeting of the Board of Directors or, except in the case of an officer chosen by the Board of Directors, by any officer upon whom such power of removal may be conferred by the Board of Directors. Any officer may resign at any time by giving notice in writing or by electronic transmission to the Corporation. Any resignation shall take effect at the date of the receipt of that notice or at any later time specified in that notice. Unless otherwise specified in the notice of resignation, the acceptance of the resignation shall not be necessary to make it effective. If a resignation is made effective at a later date and the Corporation accepts the future effective date, the Board of Directors may fill the pending vacancy before the effective date if the Board of Directors provides that the successor shall not take office until the effective date. Any resignation is without prejudice to the rights, if any, of the Corporation under any contract to which the officer is a party.</w:t>
      </w:r>
    </w:p>
    <w:p>
      <w:pPr>
        <w:spacing w:after="0" w:line="17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Vacancies in Offices</w:t>
      </w:r>
      <w:r>
        <w:rPr>
          <w:rFonts w:ascii="Arial" w:cs="Arial" w:eastAsia="Arial" w:hAnsi="Arial"/>
          <w:sz w:val="18"/>
          <w:szCs w:val="18"/>
          <w:color w:val="auto"/>
        </w:rPr>
        <w:t xml:space="preserve">. Any vacancy occurring in any office of the Corporation shall be filled by the Board of Directors or as provided in </w:t>
      </w:r>
      <w:r>
        <w:rPr>
          <w:rFonts w:ascii="Arial" w:cs="Arial" w:eastAsia="Arial" w:hAnsi="Arial"/>
          <w:sz w:val="18"/>
          <w:szCs w:val="18"/>
          <w:u w:val="single" w:color="auto"/>
          <w:color w:val="auto"/>
        </w:rPr>
        <w:t>Section 4.03</w:t>
      </w:r>
      <w:r>
        <w:rPr>
          <w:rFonts w:ascii="Arial" w:cs="Arial" w:eastAsia="Arial" w:hAnsi="Arial"/>
          <w:sz w:val="18"/>
          <w:szCs w:val="18"/>
          <w:color w:val="auto"/>
        </w:rPr>
        <w:t>.</w:t>
      </w:r>
    </w:p>
    <w:p>
      <w:pPr>
        <w:spacing w:after="0" w:line="170"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Subject to such supervisory powers, if any, as may be given by the Board of Directors to a Chairperson, if any, the Chief Executive Officer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(if such an officer is appointed) shall, subject to the control of the Board of Directors, have general supervision, direction, and control of the business and the officers of the Corporation. He or she shall preside at all meetings of the stockholders and, in the absence or nonexistence of a Chairperson, at all meetings of the Board of Directors at which he or she is present and shall have the general powers and duties of management usually vested in the office of chief executive officer of a corporation and shall have such other powers and duties as may be prescribed by the Board of Directors or these Bylaw.</w:t>
      </w:r>
    </w:p>
    <w:p>
      <w:pPr>
        <w:spacing w:after="0" w:line="192"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President</w:t>
      </w:r>
      <w:r>
        <w:rPr>
          <w:rFonts w:ascii="Arial" w:cs="Arial" w:eastAsia="Arial" w:hAnsi="Arial"/>
          <w:sz w:val="16"/>
          <w:szCs w:val="16"/>
          <w:color w:val="auto"/>
        </w:rPr>
        <w:t>. The Board of Directors may, but is not obligated to, appoint a President. Subject to such supervisory powers, if any, as may be given by the Board of Directors to a Chairperson (if any) or the CEO, the President, if appointed,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of Directors or these Bylaws.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44" w:name="page45"/>
    <w:bookmarkEnd w:id="44"/>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4.08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 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 The Secretary shall give, or cause to be given, notice of all meetings of the stockholders and of the Board of Directors required to be given by law or by these Bylaws. He or she shall keep the seal of the Corporation, if one be adopted, in safe custody and shall have such other powers and perform such other duties as may be prescribed by the Board of Directors or by these Bylaws.</w:t>
      </w:r>
    </w:p>
    <w:p>
      <w:pPr>
        <w:spacing w:after="0" w:line="18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(the “</w:t>
      </w:r>
      <w:r>
        <w:rPr>
          <w:rFonts w:ascii="Arial" w:cs="Arial" w:eastAsia="Arial" w:hAnsi="Arial"/>
          <w:sz w:val="18"/>
          <w:szCs w:val="18"/>
          <w:b w:val="1"/>
          <w:bCs w:val="1"/>
          <w:i w:val="1"/>
          <w:iCs w:val="1"/>
          <w:color w:val="auto"/>
        </w:rPr>
        <w:t>CFO</w:t>
      </w:r>
      <w:r>
        <w:rPr>
          <w:rFonts w:ascii="Arial" w:cs="Arial" w:eastAsia="Arial" w:hAnsi="Arial"/>
          <w:sz w:val="18"/>
          <w:szCs w:val="18"/>
          <w:color w:val="auto"/>
        </w:rPr>
        <w:t>”) shall be the treasurer and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 The CFO shall deposit all moneys and other valuables in the name and to the credit of the Corporation with such depositories as may be designated by the Board of Directors. He or she shall disburse the funds of the Corporation as may be ordered by the Board of Directors, shall render to the President, if any is appointed, the CEO, or the directors, upon request, an account of all his or her transactions as CFO and of the financial condition of the Corporation, and shall have other powers and perform such other duties as may be prescribed by the Board of Directors or these Bylaws.</w:t>
      </w:r>
    </w:p>
    <w:p>
      <w:pPr>
        <w:spacing w:after="0" w:line="192"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Representation of Shares of Other Entities</w:t>
      </w:r>
      <w:r>
        <w:rPr>
          <w:rFonts w:ascii="Arial" w:cs="Arial" w:eastAsia="Arial" w:hAnsi="Arial"/>
          <w:sz w:val="18"/>
          <w:szCs w:val="18"/>
          <w:color w:val="auto"/>
        </w:rPr>
        <w:t>. Unless otherwise directed by the Board of Directors, the President or any other person authorized by the Board of Directors or the President is authorized to vote, represent and exercise on behalf of the Corporation all rights incident to any and all shares, securities or interests of any other corporation or entity standing in the name of the Corporation. The authority granted herein may be exercised either by such person directly or by any other person authorized to do so by proxy or power of attorney duly executed by such person having the authority.</w:t>
      </w:r>
    </w:p>
    <w:p>
      <w:pPr>
        <w:spacing w:after="0" w:line="188" w:lineRule="exact"/>
        <w:rPr>
          <w:sz w:val="20"/>
          <w:szCs w:val="20"/>
          <w:color w:val="auto"/>
        </w:rPr>
      </w:pPr>
    </w:p>
    <w:p>
      <w:pPr>
        <w:jc w:val="both"/>
        <w:ind w:right="60" w:firstLine="440"/>
        <w:spacing w:after="0" w:line="311"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Authority and Duties of Officers</w:t>
      </w:r>
      <w:r>
        <w:rPr>
          <w:rFonts w:ascii="Arial" w:cs="Arial" w:eastAsia="Arial" w:hAnsi="Arial"/>
          <w:sz w:val="16"/>
          <w:szCs w:val="16"/>
          <w:color w:val="auto"/>
        </w:rPr>
        <w:t>. All officers of the Corporation shall respectively have such powers and authority and shall perform such duties in the management of the business of the Corporation as may be provided herein or designated from time to time by the Board of Directors and, to the extent not so provided, as generally pertain to their respective offices, subject to the control of the Board of Directors.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45" w:name="page46"/>
    <w:bookmarkEnd w:id="45"/>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4.12 </w:t>
      </w:r>
      <w:r>
        <w:rPr>
          <w:rFonts w:ascii="Arial" w:cs="Arial" w:eastAsia="Arial" w:hAnsi="Arial"/>
          <w:sz w:val="18"/>
          <w:szCs w:val="18"/>
          <w:u w:val="single" w:color="auto"/>
          <w:color w:val="auto"/>
        </w:rPr>
        <w:t>Compensation</w:t>
      </w:r>
      <w:r>
        <w:rPr>
          <w:rFonts w:ascii="Arial" w:cs="Arial" w:eastAsia="Arial" w:hAnsi="Arial"/>
          <w:sz w:val="18"/>
          <w:szCs w:val="18"/>
          <w:color w:val="auto"/>
        </w:rPr>
        <w:t>. The compensation of the officers of the Corporation for their services as such shall be fixed from time to time by or at the direction of the Board of Directors. An officer of the Corporation shall not be prevented from receiving compensation by reason of the fact that he or she is also a director of the Corporation.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Certificates</w:t>
      </w:r>
      <w:r>
        <w:rPr>
          <w:rFonts w:ascii="Arial" w:cs="Arial" w:eastAsia="Arial" w:hAnsi="Arial"/>
          <w:sz w:val="17"/>
          <w:szCs w:val="17"/>
          <w:color w:val="auto"/>
        </w:rPr>
        <w:t xml:space="preserve">. The shares of Stock shall be represented by certificates,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in such form as may be prescribed by law and by the Board of Directors, representing the number of shares held by such holder registered in certificate form. Each such certificate shall be signed in a manner that complies with Section 158 of the DGCL.</w:t>
      </w:r>
    </w:p>
    <w:p>
      <w:pPr>
        <w:spacing w:after="0" w:line="176"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Lost, Stolen or Destroyed Stock Certificates; Issuance of New Certificates</w:t>
      </w:r>
      <w:r>
        <w:rPr>
          <w:rFonts w:ascii="Arial" w:cs="Arial" w:eastAsia="Arial" w:hAnsi="Arial"/>
          <w:sz w:val="17"/>
          <w:szCs w:val="17"/>
          <w:color w:val="auto"/>
        </w:rPr>
        <w:t>. The Corporation may issue a new certificate for shares of Stock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The Board of Directors may establish regulations, rules or procedures concerning the proof required for adequately alleging the loss, theft or destruction of any Stock certificate and concerning the giving of a satisfactory bond or bonds of indemnity.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AND ADVANCEMENT OF EXPENSES</w:t>
      </w:r>
    </w:p>
    <w:p>
      <w:pPr>
        <w:spacing w:after="0" w:line="211"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The Corporation shall indemnify and hold harmless, to the fullest extent permitted by applicable law (including as it presently exists or may hereafter be amended, but, in the case of any such amendment, only to the extent that such amendment permits the Corporation to provide broader indemnification rights than such law permitted the Corporation to provide prior to such amendment), any person (a “</w:t>
      </w:r>
      <w:r>
        <w:rPr>
          <w:rFonts w:ascii="Arial" w:cs="Arial" w:eastAsia="Arial" w:hAnsi="Arial"/>
          <w:sz w:val="16"/>
          <w:szCs w:val="16"/>
          <w:b w:val="1"/>
          <w:bCs w:val="1"/>
          <w:i w:val="1"/>
          <w:iCs w:val="1"/>
          <w:color w:val="auto"/>
        </w:rPr>
        <w:t>Covered Person</w:t>
      </w:r>
      <w:r>
        <w:rPr>
          <w:rFonts w:ascii="Arial" w:cs="Arial" w:eastAsia="Arial" w:hAnsi="Arial"/>
          <w:sz w:val="16"/>
          <w:szCs w:val="16"/>
          <w:color w:val="auto"/>
        </w:rPr>
        <w:t>”) who was or is made or is threatened to be made a party or is otherwise involved in any action, suit or proceeding, whether civil, criminal, administrative or investigative (any such action, suit or proceeding,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limited liability company,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Covered Person. Notwithstanding the preceding sentence, except as otherwise provided in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of these Bylaws,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46" w:name="page47"/>
    <w:bookmarkEnd w:id="46"/>
    <w:p>
      <w:pPr>
        <w:ind w:right="6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6.02 </w:t>
      </w:r>
      <w:r>
        <w:rPr>
          <w:rFonts w:ascii="Arial" w:cs="Arial" w:eastAsia="Arial" w:hAnsi="Arial"/>
          <w:sz w:val="16"/>
          <w:szCs w:val="16"/>
          <w:u w:val="single" w:color="auto"/>
          <w:color w:val="auto"/>
        </w:rPr>
        <w:t>Indemnification of Others</w:t>
      </w:r>
      <w:r>
        <w:rPr>
          <w:rFonts w:ascii="Arial" w:cs="Arial" w:eastAsia="Arial" w:hAnsi="Arial"/>
          <w:sz w:val="16"/>
          <w:szCs w:val="16"/>
          <w:color w:val="auto"/>
        </w:rPr>
        <w:t>. The Corporation shall have the power (but not the obligation)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64"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Advancement of Expenses</w:t>
      </w:r>
      <w:r>
        <w:rPr>
          <w:rFonts w:ascii="Arial" w:cs="Arial" w:eastAsia="Arial" w:hAnsi="Arial"/>
          <w:sz w:val="18"/>
          <w:szCs w:val="18"/>
          <w:color w:val="auto"/>
        </w:rPr>
        <w:t xml:space="preserve">. The Corporation shall to the fullest extent not prohibited by applicable law pay the expenses (including attorneys’ fees) incurred by a Covered Person in defending any proceeding in advance of its final disposition,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otherwise.</w:t>
      </w:r>
    </w:p>
    <w:p>
      <w:pPr>
        <w:spacing w:after="0" w:line="188"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Claims</w:t>
      </w:r>
      <w:r>
        <w:rPr>
          <w:rFonts w:ascii="Arial" w:cs="Arial" w:eastAsia="Arial" w:hAnsi="Arial"/>
          <w:sz w:val="18"/>
          <w:szCs w:val="18"/>
          <w:color w:val="auto"/>
        </w:rPr>
        <w:t xml:space="preserve">. If a claim for indemnification under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(following the final disposition of such proceeding) is not paid in full within sixty (60) days after the Corporation has received a written claim therefor by the Covered Person, or if a claim for any advancement of expenses under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is not paid in full within thirty (30) days after the Corporation has received a written statement or statements requesting such amounts to be advanced, the Covered Person shall thereupon (but not before) be entitled to file suit to recover the unpaid amount of such claim. If successful in whole or in part, the Covered Person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p>
      <w:pPr>
        <w:spacing w:after="0" w:line="195"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xml:space="preserve">. The rights conferred on any Covered Person by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not be exclusive of any other rights which such Covered Person may have or hereafter acquires under any statute, provision of the Certificate of Incorporation, these Bylaws, agreement, vote of Stockholders or disinterested directors or otherwise.</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47" w:name="page48"/>
    <w:bookmarkEnd w:id="47"/>
    <w:p>
      <w:pPr>
        <w:ind w:right="30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6.07 </w:t>
      </w:r>
      <w:r>
        <w:rPr>
          <w:rFonts w:ascii="Arial" w:cs="Arial" w:eastAsia="Arial" w:hAnsi="Arial"/>
          <w:sz w:val="17"/>
          <w:szCs w:val="17"/>
          <w:u w:val="single" w:color="auto"/>
          <w:color w:val="auto"/>
        </w:rPr>
        <w:t>Other Sources</w:t>
      </w:r>
      <w:r>
        <w:rPr>
          <w:rFonts w:ascii="Arial" w:cs="Arial" w:eastAsia="Arial" w:hAnsi="Arial"/>
          <w:sz w:val="17"/>
          <w:szCs w:val="17"/>
          <w:color w:val="auto"/>
        </w:rPr>
        <w:t>. The Corporation’s obligation, if any, to indemnify or to advance expenses to any Covered Person who was or is serving at its request as a director, officer, employee or agent of another corporation, partnership, limited liability company, joint venture, trust, enterprise or nonprofit entity shall be reduced by any amount such Covered Person may collect as indemnification or advancement of expenses from such other corporation, partnership, limited liability company, joint venture, trust, enterprise or non-profit enterprise.</w:t>
      </w:r>
    </w:p>
    <w:p>
      <w:pPr>
        <w:spacing w:after="0" w:line="17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Continuation of Indemnification</w:t>
      </w:r>
      <w:r>
        <w:rPr>
          <w:rFonts w:ascii="Arial" w:cs="Arial" w:eastAsia="Arial" w:hAnsi="Arial"/>
          <w:sz w:val="18"/>
          <w:szCs w:val="18"/>
          <w:color w:val="auto"/>
        </w:rPr>
        <w:t xml:space="preserve">. The rights to indemnification and to advancement of expenses provided by, or granted pursuant to,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continue as to a Person who has ceased to be a director or officer of the Corporation and shall inure to the benefit of the estate, heirs, executors, administrators, legatees and distributees of such Person.</w:t>
      </w:r>
    </w:p>
    <w:p>
      <w:pPr>
        <w:spacing w:after="0" w:line="184"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right to indemnification or to advancement of expenses of any Covered Person arising hereunder shall not be eliminated or impaired by an amendment to or repeal of these Bylaws or an amendment to the Certificate of Incorporation after the occurrence of the act or omission that is the subject of the proceeding for which indemnification or advancement of expenses is sought.</w:t>
      </w:r>
    </w:p>
    <w:p>
      <w:pPr>
        <w:spacing w:after="0" w:line="16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Other Indemnification and Advancement of Expenses</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not limit the right of the Corporation, to the extent and in the manner permitted by law, to indemnify and to advance expenses to persons other than Covered Persons when and as authorized by appropriate corporate action.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resolution of the Board of Directors.</w:t>
      </w:r>
    </w:p>
    <w:p>
      <w:pPr>
        <w:spacing w:after="0" w:line="225"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Execution of Corporate Contracts and Instruments</w:t>
      </w:r>
      <w:r>
        <w:rPr>
          <w:rFonts w:ascii="Arial" w:cs="Arial" w:eastAsia="Arial" w:hAnsi="Arial"/>
          <w:sz w:val="17"/>
          <w:szCs w:val="17"/>
          <w:color w:val="auto"/>
        </w:rPr>
        <w:t>. 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 Any document, including without limitation, any consent, agreement, certificate or instrument, required by the DGCL, the Certificate of Incorporation or these Bylaws to be executed by any officer, director, stockholder, employee or agent of the Corporation may be executed using a facsimile or other form of electronic signature to the fullest extent permitted by applicable law. All other contracts, agreements, certificates or instruments to be executed on behalf of the Corporation may be executed using a facsimile or other form of electronic signature to the fullest extent permitted by applicable law.</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48" w:name="page49"/>
    <w:bookmarkEnd w:id="48"/>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7.03 </w:t>
      </w:r>
      <w:r>
        <w:rPr>
          <w:rFonts w:ascii="Arial" w:cs="Arial" w:eastAsia="Arial" w:hAnsi="Arial"/>
          <w:sz w:val="18"/>
          <w:szCs w:val="18"/>
          <w:u w:val="single" w:color="auto"/>
          <w:color w:val="auto"/>
        </w:rPr>
        <w:t>Dividends</w:t>
      </w:r>
      <w:r>
        <w:rPr>
          <w:rFonts w:ascii="Arial" w:cs="Arial" w:eastAsia="Arial" w:hAnsi="Arial"/>
          <w:sz w:val="18"/>
          <w:szCs w:val="18"/>
          <w:color w:val="auto"/>
        </w:rPr>
        <w:t>. The Board of Directors, subject to any restrictions contained in either (i) the DGCL or (ii) the Certificate of Incorporation, may declare and pay dividends upon the shares of its capital Stock. Dividends may be paid in cash, in property or in shares of the Corporation’s capital Stock. 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88" w:lineRule="exact"/>
        <w:rPr>
          <w:sz w:val="20"/>
          <w:szCs w:val="20"/>
          <w:color w:val="auto"/>
        </w:rPr>
      </w:pPr>
    </w:p>
    <w:p>
      <w:pPr>
        <w:jc w:val="both"/>
        <w:ind w:right="80" w:firstLine="440"/>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The Corporation: (i) shall be entitled to recognize the exclusive right of a Person registered on its books as the owner of shares to receive dividends and to vote as such owner; and (ii) 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u w:val="single" w:color="auto"/>
          <w:color w:val="auto"/>
        </w:rPr>
        <w:t>Corporate Seal</w:t>
      </w:r>
      <w:r>
        <w:rPr>
          <w:rFonts w:ascii="Arial" w:cs="Arial" w:eastAsia="Arial" w:hAnsi="Arial"/>
          <w:sz w:val="17"/>
          <w:szCs w:val="17"/>
          <w:color w:val="auto"/>
        </w:rPr>
        <w:t>. The Corporation may adopt a corporate seal, which shall be adopted and which may be altered by the Board of</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Directors. The Corporation may use the corporate seal by causing it or a facsimile thereof to be impressed or affixed or in any other manner reproduced.</w:t>
      </w:r>
    </w:p>
    <w:p>
      <w:pPr>
        <w:spacing w:after="0" w:line="234"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Construction; Definitions</w:t>
      </w:r>
      <w:r>
        <w:rPr>
          <w:rFonts w:ascii="Arial" w:cs="Arial" w:eastAsia="Arial" w:hAnsi="Arial"/>
          <w:sz w:val="18"/>
          <w:szCs w:val="18"/>
          <w:color w:val="auto"/>
        </w:rPr>
        <w:t>. 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Manner of Notice</w:t>
      </w:r>
      <w:r>
        <w:rPr>
          <w:rFonts w:ascii="Arial" w:cs="Arial" w:eastAsia="Arial" w:hAnsi="Arial"/>
          <w:sz w:val="18"/>
          <w:szCs w:val="18"/>
          <w:color w:val="auto"/>
        </w:rPr>
        <w:t>.</w:t>
      </w:r>
    </w:p>
    <w:p>
      <w:pPr>
        <w:spacing w:after="0" w:line="117" w:lineRule="exact"/>
        <w:rPr>
          <w:sz w:val="20"/>
          <w:szCs w:val="20"/>
          <w:color w:val="auto"/>
        </w:rPr>
      </w:pPr>
    </w:p>
    <w:p>
      <w:pPr>
        <w:jc w:val="both"/>
        <w:ind w:right="100" w:firstLine="436"/>
        <w:spacing w:after="0" w:line="311" w:lineRule="auto"/>
        <w:tabs>
          <w:tab w:leader="none" w:pos="685"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Notice by Electronic Transmission</w:t>
      </w:r>
      <w:r>
        <w:rPr>
          <w:rFonts w:ascii="Arial" w:cs="Arial" w:eastAsia="Arial" w:hAnsi="Arial"/>
          <w:sz w:val="16"/>
          <w:szCs w:val="16"/>
          <w:color w:val="auto"/>
        </w:rPr>
        <w:t>. Without limiting the manner by which notice otherwise may be given effectively to Stockholders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DGCL, the Certificate of Incorporation or these Bylaws, any notice to Stockholders given by the Corporation under any provision of the DGCL, the Certificate of Incorporation or these Bylaws shall be effective if given by a form of electronic transmission to the extent permitted by law.</w:t>
      </w:r>
    </w:p>
    <w:p>
      <w:pPr>
        <w:spacing w:after="0" w:line="149"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Any notice given pursuant to the preceding paragraph shall be deemed given (i) if by facsimile telecommunication, when directed to a number at which the Stockholder has consented to receive notice; (ii) if by electronic mail, when directed to such Stockholder’s electronic mail address unless the Stockholder has notified the Corporation in writing or by electronic transmission of an objection to receiving notice by electronic mail;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 A notice by electronic mail must include a prominent legend that the communication is an important notice regarding the Corporation.</w:t>
      </w:r>
    </w:p>
    <w:p>
      <w:pPr>
        <w:spacing w:after="0" w:line="164"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An affidavit of the Secretary or an Assistant Secretary of the Corporation or of the transfer agent or other agent of the Corporation that the notice has been given shall, in the absence of fraud, be prima facie evidence of the facts stated therein. For the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49" w:name="page50"/>
    <w:bookmarkEnd w:id="49"/>
    <w:p>
      <w:pPr>
        <w:ind w:firstLine="436"/>
        <w:spacing w:after="0" w:line="293" w:lineRule="auto"/>
        <w:tabs>
          <w:tab w:leader="none" w:pos="695"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Notice to Stockholders Sharing an Address</w:t>
      </w:r>
      <w:r>
        <w:rPr>
          <w:rFonts w:ascii="Arial" w:cs="Arial" w:eastAsia="Arial" w:hAnsi="Arial"/>
          <w:sz w:val="16"/>
          <w:szCs w:val="16"/>
          <w:color w:val="auto"/>
        </w:rPr>
        <w:t>. Without limiting the manner by which notice otherwise may be given effectively to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except as prohibited by applicable law, any notice to Stockholders given by the Corporation under any provision of applicable law,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sixty (60) days of having been given written notice by the Corporation of its intention to send the single notice permitted under this </w:t>
      </w:r>
      <w:r>
        <w:rPr>
          <w:rFonts w:ascii="Arial" w:cs="Arial" w:eastAsia="Arial" w:hAnsi="Arial"/>
          <w:sz w:val="16"/>
          <w:szCs w:val="16"/>
          <w:u w:val="single" w:color="auto"/>
          <w:color w:val="auto"/>
        </w:rPr>
        <w:t>Section 7.07</w:t>
      </w:r>
      <w:r>
        <w:rPr>
          <w:rFonts w:ascii="Arial" w:cs="Arial" w:eastAsia="Arial" w:hAnsi="Arial"/>
          <w:sz w:val="16"/>
          <w:szCs w:val="16"/>
          <w:color w:val="auto"/>
        </w:rPr>
        <w:t>, shall be deemed to have consented to receiving such single written notice.</w:t>
      </w:r>
    </w:p>
    <w:p>
      <w:pPr>
        <w:spacing w:after="0" w:line="56" w:lineRule="exact"/>
        <w:rPr>
          <w:rFonts w:ascii="Arial" w:cs="Arial" w:eastAsia="Arial" w:hAnsi="Arial"/>
          <w:sz w:val="16"/>
          <w:szCs w:val="16"/>
          <w:color w:val="auto"/>
        </w:rPr>
      </w:pPr>
    </w:p>
    <w:p>
      <w:pPr>
        <w:ind w:right="20" w:firstLine="436"/>
        <w:spacing w:after="0" w:line="259" w:lineRule="auto"/>
        <w:tabs>
          <w:tab w:leader="none" w:pos="685"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Notice to Directors. </w:t>
      </w:r>
      <w:r>
        <w:rPr>
          <w:rFonts w:ascii="Arial" w:cs="Arial" w:eastAsia="Arial" w:hAnsi="Arial"/>
          <w:sz w:val="18"/>
          <w:szCs w:val="18"/>
          <w:color w:val="auto"/>
        </w:rPr>
        <w:t>Except as otherwise provided herein or permitted by applicable law, notices to any director may be in writing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personally or mailed to such director at such director’s address appearing on the books of the Corporation, or may be given by telephone or by any means of electronic transmission (including, without limitation, electronic mail) directed to an address for receipt by such director of electronic transmissions appearing on the books of the Corporation.</w:t>
      </w:r>
    </w:p>
    <w:p>
      <w:pPr>
        <w:spacing w:after="0" w:line="187"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u w:val="single" w:color="auto"/>
          <w:color w:val="auto"/>
        </w:rPr>
        <w:t>Waiver of Notice of Meetings of Stockholders, Directors and Committees</w:t>
      </w:r>
      <w:r>
        <w:rPr>
          <w:rFonts w:ascii="Arial" w:cs="Arial" w:eastAsia="Arial" w:hAnsi="Arial"/>
          <w:sz w:val="17"/>
          <w:szCs w:val="17"/>
          <w:color w:val="auto"/>
        </w:rPr>
        <w:t>. A written waiver of any notice, signed by the person entitled to notice, or waiver by electronic transmission by such person, whether given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Board of Directors, or committee or subcommittee of the Board of Directors need be specified in a waiver of notice.</w:t>
      </w:r>
    </w:p>
    <w:p>
      <w:pPr>
        <w:spacing w:after="0" w:line="178"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Form of Records</w:t>
      </w:r>
      <w:r>
        <w:rPr>
          <w:rFonts w:ascii="Arial" w:cs="Arial" w:eastAsia="Arial" w:hAnsi="Arial"/>
          <w:sz w:val="18"/>
          <w:szCs w:val="18"/>
          <w:color w:val="auto"/>
        </w:rPr>
        <w:t>. Any records maintained by or on behalf of the Corporation in the regular course of its business, including its stock ledger, books of account, and minute books, may be kept on, or by means of, or be in the form of, any information storage device, method or one or more electronic networks or databases, provided that the records so kept can be converted into clearly legible paper form within a reasonable time, and the stock ledger is maintained in accordance with applicable law.</w:t>
      </w:r>
    </w:p>
    <w:p>
      <w:pPr>
        <w:spacing w:after="0" w:line="187"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Amendment of Bylaws</w:t>
      </w:r>
      <w:r>
        <w:rPr>
          <w:rFonts w:ascii="Arial" w:cs="Arial" w:eastAsia="Arial" w:hAnsi="Arial"/>
          <w:sz w:val="16"/>
          <w:szCs w:val="16"/>
          <w:color w:val="auto"/>
        </w:rPr>
        <w:t>. Subject to the Stockholders Agreement, these Bylaws may be altered, amended or repealed, and new bylaws made, only by the affirmative vote of (a) a majority of the Whole Board of Directors or (b) at any time when Centerbridge beneficially owns, in the aggregate, less than 40% in voting power of the stock of the Corporation entitled to vote generally in the election of directors, in addition to any vote of the holders of any class or series of Stock required by any provision of this Certificate of Incorporation (including any certificate of designation with respect to Preferred Stock), these Bylaws or applicable law, the affirmative vote of at least sixty-six and two-thirds percent (66 2/3%) of the voting power of all of the outstanding Stock entitled to vote, voting together as a single class, shall be required in order for the Stockholders to alter, amend, repeal or rescind, in whole or in part, any provision of these Bylaws or to adopt any provision inconsistent herewith.</w:t>
      </w:r>
    </w:p>
    <w:p>
      <w:pPr>
        <w:spacing w:after="0" w:line="378" w:lineRule="exact"/>
        <w:rPr>
          <w:sz w:val="20"/>
          <w:szCs w:val="20"/>
          <w:color w:val="auto"/>
        </w:rPr>
      </w:pPr>
    </w:p>
    <w:p>
      <w:pPr>
        <w:ind w:left="4960"/>
        <w:spacing w:after="0"/>
        <w:tabs>
          <w:tab w:leader="none" w:pos="5440" w:val="left"/>
          <w:tab w:leader="none" w:pos="59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100" w:type="dxa"/>
            <w:vAlign w:val="bottom"/>
            <w:gridSpan w:val="2"/>
          </w:tcPr>
          <w:p>
            <w:pPr>
              <w:ind w:left="1260"/>
              <w:spacing w:after="0"/>
              <w:rPr>
                <w:sz w:val="20"/>
                <w:szCs w:val="20"/>
                <w:color w:val="auto"/>
              </w:rPr>
            </w:pPr>
            <w:r>
              <w:rPr>
                <w:rFonts w:ascii="Arial" w:cs="Arial" w:eastAsia="Arial" w:hAnsi="Arial"/>
                <w:sz w:val="18"/>
                <w:szCs w:val="18"/>
                <w:b w:val="1"/>
                <w:bCs w:val="1"/>
                <w:color w:val="auto"/>
                <w:w w:val="91"/>
              </w:rPr>
              <w:t>Exhibit 5.1</w:t>
            </w:r>
          </w:p>
        </w:tc>
      </w:tr>
      <w:tr>
        <w:trPr>
          <w:trHeight w:val="701"/>
        </w:trPr>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tcPr>
          <w:p>
            <w:pPr>
              <w:ind w:left="5760"/>
              <w:spacing w:after="0"/>
              <w:rPr>
                <w:sz w:val="20"/>
                <w:szCs w:val="20"/>
                <w:color w:val="auto"/>
              </w:rPr>
            </w:pPr>
            <w:r>
              <w:rPr>
                <w:rFonts w:ascii="Arial" w:cs="Arial" w:eastAsia="Arial" w:hAnsi="Arial"/>
                <w:sz w:val="18"/>
                <w:szCs w:val="18"/>
                <w:color w:val="auto"/>
              </w:rPr>
              <w:t>53rd at Third</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80" w:type="dxa"/>
            <w:vAlign w:val="bottom"/>
          </w:tcPr>
          <w:p>
            <w:pPr>
              <w:ind w:left="5760"/>
              <w:spacing w:after="0"/>
              <w:rPr>
                <w:sz w:val="20"/>
                <w:szCs w:val="20"/>
                <w:color w:val="auto"/>
              </w:rPr>
            </w:pPr>
            <w:r>
              <w:rPr>
                <w:rFonts w:ascii="Arial" w:cs="Arial" w:eastAsia="Arial" w:hAnsi="Arial"/>
                <w:sz w:val="18"/>
                <w:szCs w:val="18"/>
                <w:color w:val="auto"/>
                <w:w w:val="98"/>
              </w:rPr>
              <w:t>885 Third Avenue</w:t>
            </w: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80" w:type="dxa"/>
            <w:vAlign w:val="bottom"/>
            <w:gridSpan w:val="3"/>
          </w:tcPr>
          <w:p>
            <w:pPr>
              <w:ind w:left="5760"/>
              <w:spacing w:after="0"/>
              <w:rPr>
                <w:sz w:val="20"/>
                <w:szCs w:val="20"/>
                <w:color w:val="auto"/>
              </w:rPr>
            </w:pPr>
            <w:r>
              <w:rPr>
                <w:rFonts w:ascii="Arial" w:cs="Arial" w:eastAsia="Arial" w:hAnsi="Arial"/>
                <w:sz w:val="18"/>
                <w:szCs w:val="18"/>
                <w:color w:val="auto"/>
              </w:rPr>
              <w:t>New York, New York 10022-4834</w:t>
            </w:r>
          </w:p>
        </w:tc>
      </w:tr>
      <w:tr>
        <w:trPr>
          <w:trHeight w:val="216"/>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80" w:type="dxa"/>
            <w:vAlign w:val="bottom"/>
            <w:gridSpan w:val="3"/>
          </w:tcPr>
          <w:p>
            <w:pPr>
              <w:ind w:left="5760"/>
              <w:spacing w:after="0"/>
              <w:rPr>
                <w:sz w:val="20"/>
                <w:szCs w:val="20"/>
                <w:color w:val="auto"/>
              </w:rPr>
            </w:pPr>
            <w:r>
              <w:rPr>
                <w:rFonts w:ascii="Arial" w:cs="Arial" w:eastAsia="Arial" w:hAnsi="Arial"/>
                <w:sz w:val="18"/>
                <w:szCs w:val="18"/>
                <w:color w:val="auto"/>
                <w:w w:val="99"/>
              </w:rPr>
              <w:t>Tel: +1.212.906.1200 Fax: +1.212.751.4864</w:t>
            </w:r>
          </w:p>
        </w:tc>
      </w:tr>
      <w:tr>
        <w:trPr>
          <w:trHeight w:val="230"/>
        </w:trPr>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80" w:type="dxa"/>
            <w:vAlign w:val="bottom"/>
          </w:tcPr>
          <w:p>
            <w:pPr>
              <w:ind w:left="5760"/>
              <w:spacing w:after="0"/>
              <w:rPr>
                <w:sz w:val="20"/>
                <w:szCs w:val="20"/>
                <w:color w:val="auto"/>
              </w:rPr>
            </w:pPr>
            <w:r>
              <w:rPr>
                <w:rFonts w:ascii="Arial" w:cs="Arial" w:eastAsia="Arial" w:hAnsi="Arial"/>
                <w:sz w:val="18"/>
                <w:szCs w:val="18"/>
                <w:color w:val="auto"/>
              </w:rPr>
              <w:t>www.lw.com</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8"/>
        </w:trPr>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80" w:type="dxa"/>
            <w:vAlign w:val="bottom"/>
            <w:gridSpan w:val="3"/>
          </w:tcPr>
          <w:p>
            <w:pPr>
              <w:ind w:left="5760"/>
              <w:spacing w:after="0"/>
              <w:rPr>
                <w:sz w:val="20"/>
                <w:szCs w:val="20"/>
                <w:color w:val="auto"/>
              </w:rPr>
            </w:pPr>
            <w:r>
              <w:rPr>
                <w:rFonts w:ascii="Arial" w:cs="Arial" w:eastAsia="Arial" w:hAnsi="Arial"/>
                <w:sz w:val="18"/>
                <w:szCs w:val="18"/>
                <w:color w:val="auto"/>
              </w:rPr>
              <w:t>FIRM / AFFILIATE OFFICES</w:t>
            </w:r>
          </w:p>
        </w:tc>
      </w:tr>
      <w:tr>
        <w:trPr>
          <w:trHeight w:val="216"/>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80" w:type="dxa"/>
            <w:vAlign w:val="bottom"/>
          </w:tcPr>
          <w:p>
            <w:pPr>
              <w:ind w:left="5760"/>
              <w:spacing w:after="0"/>
              <w:rPr>
                <w:sz w:val="20"/>
                <w:szCs w:val="20"/>
                <w:color w:val="auto"/>
              </w:rPr>
            </w:pPr>
            <w:r>
              <w:rPr>
                <w:rFonts w:ascii="Arial" w:cs="Arial" w:eastAsia="Arial" w:hAnsi="Arial"/>
                <w:sz w:val="18"/>
                <w:szCs w:val="18"/>
                <w:color w:val="auto"/>
              </w:rPr>
              <w:t>Beijing</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Moscow</w:t>
            </w:r>
          </w:p>
        </w:tc>
      </w:tr>
      <w:tr>
        <w:trPr>
          <w:trHeight w:val="216"/>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80" w:type="dxa"/>
            <w:vAlign w:val="bottom"/>
          </w:tcPr>
          <w:p>
            <w:pPr>
              <w:ind w:left="5760"/>
              <w:spacing w:after="0"/>
              <w:rPr>
                <w:sz w:val="20"/>
                <w:szCs w:val="20"/>
                <w:color w:val="auto"/>
              </w:rPr>
            </w:pPr>
            <w:r>
              <w:rPr>
                <w:rFonts w:ascii="Arial" w:cs="Arial" w:eastAsia="Arial" w:hAnsi="Arial"/>
                <w:sz w:val="18"/>
                <w:szCs w:val="18"/>
                <w:color w:val="auto"/>
              </w:rPr>
              <w:t>Boston</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Munich</w:t>
            </w:r>
          </w:p>
        </w:tc>
      </w:tr>
      <w:tr>
        <w:trPr>
          <w:trHeight w:val="216"/>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80" w:type="dxa"/>
            <w:vAlign w:val="bottom"/>
          </w:tcPr>
          <w:p>
            <w:pPr>
              <w:ind w:left="5760"/>
              <w:spacing w:after="0"/>
              <w:rPr>
                <w:sz w:val="20"/>
                <w:szCs w:val="20"/>
                <w:color w:val="auto"/>
              </w:rPr>
            </w:pPr>
            <w:r>
              <w:rPr>
                <w:rFonts w:ascii="Arial" w:cs="Arial" w:eastAsia="Arial" w:hAnsi="Arial"/>
                <w:sz w:val="18"/>
                <w:szCs w:val="18"/>
                <w:color w:val="auto"/>
              </w:rPr>
              <w:t>Brussels</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r>
      <w:tr>
        <w:trPr>
          <w:trHeight w:val="216"/>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80" w:type="dxa"/>
            <w:vAlign w:val="bottom"/>
          </w:tcPr>
          <w:p>
            <w:pPr>
              <w:ind w:left="5760"/>
              <w:spacing w:after="0"/>
              <w:rPr>
                <w:sz w:val="20"/>
                <w:szCs w:val="20"/>
                <w:color w:val="auto"/>
              </w:rPr>
            </w:pPr>
            <w:r>
              <w:rPr>
                <w:rFonts w:ascii="Arial" w:cs="Arial" w:eastAsia="Arial" w:hAnsi="Arial"/>
                <w:sz w:val="18"/>
                <w:szCs w:val="18"/>
                <w:color w:val="auto"/>
              </w:rPr>
              <w:t>Century City</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Orange County</w:t>
            </w:r>
          </w:p>
        </w:tc>
      </w:tr>
      <w:tr>
        <w:trPr>
          <w:trHeight w:val="216"/>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80" w:type="dxa"/>
            <w:vAlign w:val="bottom"/>
          </w:tcPr>
          <w:p>
            <w:pPr>
              <w:ind w:left="5760"/>
              <w:spacing w:after="0"/>
              <w:rPr>
                <w:sz w:val="20"/>
                <w:szCs w:val="20"/>
                <w:color w:val="auto"/>
              </w:rPr>
            </w:pPr>
            <w:r>
              <w:rPr>
                <w:rFonts w:ascii="Arial" w:cs="Arial" w:eastAsia="Arial" w:hAnsi="Arial"/>
                <w:sz w:val="18"/>
                <w:szCs w:val="18"/>
                <w:color w:val="auto"/>
              </w:rPr>
              <w:t>Chicago</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Paris</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July 15, 2020</w:t>
            </w:r>
          </w:p>
        </w:tc>
        <w:tc>
          <w:tcPr>
            <w:tcW w:w="20" w:type="dxa"/>
            <w:vAlign w:val="bottom"/>
          </w:tcPr>
          <w:p>
            <w:pPr>
              <w:spacing w:after="0"/>
              <w:rPr>
                <w:sz w:val="18"/>
                <w:szCs w:val="18"/>
                <w:color w:val="auto"/>
              </w:rPr>
            </w:pPr>
          </w:p>
        </w:tc>
        <w:tc>
          <w:tcPr>
            <w:tcW w:w="7180" w:type="dxa"/>
            <w:vAlign w:val="bottom"/>
          </w:tcPr>
          <w:p>
            <w:pPr>
              <w:ind w:left="5760"/>
              <w:spacing w:after="0"/>
              <w:rPr>
                <w:sz w:val="20"/>
                <w:szCs w:val="20"/>
                <w:color w:val="auto"/>
              </w:rPr>
            </w:pPr>
            <w:r>
              <w:rPr>
                <w:rFonts w:ascii="Arial" w:cs="Arial" w:eastAsia="Arial" w:hAnsi="Arial"/>
                <w:sz w:val="18"/>
                <w:szCs w:val="18"/>
                <w:color w:val="auto"/>
              </w:rPr>
              <w:t>Dubai</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Riyadh</w:t>
            </w:r>
          </w:p>
        </w:tc>
      </w:tr>
      <w:tr>
        <w:trPr>
          <w:trHeight w:val="216"/>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80" w:type="dxa"/>
            <w:vAlign w:val="bottom"/>
          </w:tcPr>
          <w:p>
            <w:pPr>
              <w:ind w:left="5760"/>
              <w:spacing w:after="0"/>
              <w:rPr>
                <w:sz w:val="20"/>
                <w:szCs w:val="20"/>
                <w:color w:val="auto"/>
              </w:rPr>
            </w:pPr>
            <w:r>
              <w:rPr>
                <w:rFonts w:ascii="Arial" w:cs="Arial" w:eastAsia="Arial" w:hAnsi="Arial"/>
                <w:sz w:val="18"/>
                <w:szCs w:val="18"/>
                <w:color w:val="auto"/>
              </w:rPr>
              <w:t>Düsseldorf</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San Diego</w:t>
            </w:r>
          </w:p>
        </w:tc>
      </w:tr>
      <w:tr>
        <w:trPr>
          <w:trHeight w:val="216"/>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80" w:type="dxa"/>
            <w:vAlign w:val="bottom"/>
          </w:tcPr>
          <w:p>
            <w:pPr>
              <w:ind w:left="5760"/>
              <w:spacing w:after="0"/>
              <w:rPr>
                <w:sz w:val="20"/>
                <w:szCs w:val="20"/>
                <w:color w:val="auto"/>
              </w:rPr>
            </w:pPr>
            <w:r>
              <w:rPr>
                <w:rFonts w:ascii="Arial" w:cs="Arial" w:eastAsia="Arial" w:hAnsi="Arial"/>
                <w:sz w:val="18"/>
                <w:szCs w:val="18"/>
                <w:color w:val="auto"/>
              </w:rPr>
              <w:t>Frankfurt</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San Francisco</w:t>
            </w:r>
          </w:p>
        </w:tc>
      </w:tr>
      <w:tr>
        <w:trPr>
          <w:trHeight w:val="216"/>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80" w:type="dxa"/>
            <w:vAlign w:val="bottom"/>
          </w:tcPr>
          <w:p>
            <w:pPr>
              <w:ind w:left="5760"/>
              <w:spacing w:after="0"/>
              <w:rPr>
                <w:sz w:val="20"/>
                <w:szCs w:val="20"/>
                <w:color w:val="auto"/>
              </w:rPr>
            </w:pPr>
            <w:r>
              <w:rPr>
                <w:rFonts w:ascii="Arial" w:cs="Arial" w:eastAsia="Arial" w:hAnsi="Arial"/>
                <w:sz w:val="18"/>
                <w:szCs w:val="18"/>
                <w:color w:val="auto"/>
              </w:rPr>
              <w:t>Hamburg</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Seoul</w:t>
            </w:r>
          </w:p>
        </w:tc>
      </w:tr>
      <w:tr>
        <w:trPr>
          <w:trHeight w:val="216"/>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80" w:type="dxa"/>
            <w:vAlign w:val="bottom"/>
          </w:tcPr>
          <w:p>
            <w:pPr>
              <w:ind w:left="5760"/>
              <w:spacing w:after="0"/>
              <w:rPr>
                <w:sz w:val="20"/>
                <w:szCs w:val="20"/>
                <w:color w:val="auto"/>
              </w:rPr>
            </w:pPr>
            <w:r>
              <w:rPr>
                <w:rFonts w:ascii="Arial" w:cs="Arial" w:eastAsia="Arial" w:hAnsi="Arial"/>
                <w:sz w:val="18"/>
                <w:szCs w:val="18"/>
                <w:color w:val="auto"/>
              </w:rPr>
              <w:t>Hong Kong</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Shanghai</w:t>
            </w:r>
          </w:p>
        </w:tc>
      </w:tr>
      <w:tr>
        <w:trPr>
          <w:trHeight w:val="216"/>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80" w:type="dxa"/>
            <w:vAlign w:val="bottom"/>
          </w:tcPr>
          <w:p>
            <w:pPr>
              <w:ind w:left="5760"/>
              <w:spacing w:after="0"/>
              <w:rPr>
                <w:sz w:val="20"/>
                <w:szCs w:val="20"/>
                <w:color w:val="auto"/>
              </w:rPr>
            </w:pPr>
            <w:r>
              <w:rPr>
                <w:rFonts w:ascii="Arial" w:cs="Arial" w:eastAsia="Arial" w:hAnsi="Arial"/>
                <w:sz w:val="18"/>
                <w:szCs w:val="18"/>
                <w:color w:val="auto"/>
              </w:rPr>
              <w:t>Houston</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Silicon Valley</w:t>
            </w:r>
          </w:p>
        </w:tc>
      </w:tr>
      <w:tr>
        <w:trPr>
          <w:trHeight w:val="216"/>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80" w:type="dxa"/>
            <w:vAlign w:val="bottom"/>
          </w:tcPr>
          <w:p>
            <w:pPr>
              <w:ind w:left="5760"/>
              <w:spacing w:after="0"/>
              <w:rPr>
                <w:sz w:val="20"/>
                <w:szCs w:val="20"/>
                <w:color w:val="auto"/>
              </w:rPr>
            </w:pPr>
            <w:r>
              <w:rPr>
                <w:rFonts w:ascii="Arial" w:cs="Arial" w:eastAsia="Arial" w:hAnsi="Arial"/>
                <w:sz w:val="18"/>
                <w:szCs w:val="18"/>
                <w:color w:val="auto"/>
              </w:rPr>
              <w:t>London</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Singapore</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GoHealth, Inc.</w:t>
            </w:r>
          </w:p>
        </w:tc>
        <w:tc>
          <w:tcPr>
            <w:tcW w:w="20" w:type="dxa"/>
            <w:vAlign w:val="bottom"/>
          </w:tcPr>
          <w:p>
            <w:pPr>
              <w:spacing w:after="0"/>
              <w:rPr>
                <w:sz w:val="18"/>
                <w:szCs w:val="18"/>
                <w:color w:val="auto"/>
              </w:rPr>
            </w:pPr>
          </w:p>
        </w:tc>
        <w:tc>
          <w:tcPr>
            <w:tcW w:w="7180" w:type="dxa"/>
            <w:vAlign w:val="bottom"/>
          </w:tcPr>
          <w:p>
            <w:pPr>
              <w:ind w:left="5760"/>
              <w:spacing w:after="0"/>
              <w:rPr>
                <w:sz w:val="20"/>
                <w:szCs w:val="20"/>
                <w:color w:val="auto"/>
              </w:rPr>
            </w:pPr>
            <w:r>
              <w:rPr>
                <w:rFonts w:ascii="Arial" w:cs="Arial" w:eastAsia="Arial" w:hAnsi="Arial"/>
                <w:sz w:val="18"/>
                <w:szCs w:val="18"/>
                <w:color w:val="auto"/>
              </w:rPr>
              <w:t>Los Angeles</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Tokyo</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214 West Huron St.</w:t>
            </w:r>
          </w:p>
        </w:tc>
        <w:tc>
          <w:tcPr>
            <w:tcW w:w="20" w:type="dxa"/>
            <w:vAlign w:val="bottom"/>
          </w:tcPr>
          <w:p>
            <w:pPr>
              <w:spacing w:after="0"/>
              <w:rPr>
                <w:sz w:val="18"/>
                <w:szCs w:val="18"/>
                <w:color w:val="auto"/>
              </w:rPr>
            </w:pPr>
          </w:p>
        </w:tc>
        <w:tc>
          <w:tcPr>
            <w:tcW w:w="7180" w:type="dxa"/>
            <w:vAlign w:val="bottom"/>
          </w:tcPr>
          <w:p>
            <w:pPr>
              <w:ind w:left="5760"/>
              <w:spacing w:after="0"/>
              <w:rPr>
                <w:sz w:val="20"/>
                <w:szCs w:val="20"/>
                <w:color w:val="auto"/>
              </w:rPr>
            </w:pPr>
            <w:r>
              <w:rPr>
                <w:rFonts w:ascii="Arial" w:cs="Arial" w:eastAsia="Arial" w:hAnsi="Arial"/>
                <w:sz w:val="18"/>
                <w:szCs w:val="18"/>
                <w:color w:val="auto"/>
              </w:rPr>
              <w:t>Madrid</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Washington, D.C.</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w w:val="93"/>
              </w:rPr>
              <w:t>Chicago, Illinois 60654</w:t>
            </w:r>
          </w:p>
        </w:tc>
        <w:tc>
          <w:tcPr>
            <w:tcW w:w="20" w:type="dxa"/>
            <w:vAlign w:val="bottom"/>
          </w:tcPr>
          <w:p>
            <w:pPr>
              <w:spacing w:after="0"/>
              <w:rPr>
                <w:sz w:val="20"/>
                <w:szCs w:val="20"/>
                <w:color w:val="auto"/>
              </w:rPr>
            </w:pPr>
          </w:p>
        </w:tc>
        <w:tc>
          <w:tcPr>
            <w:tcW w:w="7180" w:type="dxa"/>
            <w:vAlign w:val="bottom"/>
          </w:tcPr>
          <w:p>
            <w:pPr>
              <w:ind w:left="5760"/>
              <w:spacing w:after="0"/>
              <w:rPr>
                <w:sz w:val="20"/>
                <w:szCs w:val="20"/>
                <w:color w:val="auto"/>
              </w:rPr>
            </w:pPr>
            <w:r>
              <w:rPr>
                <w:rFonts w:ascii="Arial" w:cs="Arial" w:eastAsia="Arial" w:hAnsi="Arial"/>
                <w:sz w:val="18"/>
                <w:szCs w:val="18"/>
                <w:color w:val="auto"/>
              </w:rPr>
              <w:t>Milan</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8"/>
        </w:trPr>
        <w:tc>
          <w:tcPr>
            <w:tcW w:w="1720" w:type="dxa"/>
            <w:vAlign w:val="bottom"/>
          </w:tcPr>
          <w:p>
            <w:pPr>
              <w:ind w:left="1200"/>
              <w:spacing w:after="0"/>
              <w:rPr>
                <w:sz w:val="20"/>
                <w:szCs w:val="20"/>
                <w:color w:val="auto"/>
              </w:rPr>
            </w:pPr>
            <w:r>
              <w:rPr>
                <w:rFonts w:ascii="Arial" w:cs="Arial" w:eastAsia="Arial" w:hAnsi="Arial"/>
                <w:sz w:val="18"/>
                <w:szCs w:val="18"/>
                <w:color w:val="auto"/>
              </w:rPr>
              <w:t>Re:</w:t>
            </w:r>
          </w:p>
        </w:tc>
        <w:tc>
          <w:tcPr>
            <w:tcW w:w="9300" w:type="dxa"/>
            <w:vAlign w:val="bottom"/>
            <w:gridSpan w:val="4"/>
          </w:tcPr>
          <w:p>
            <w:pPr>
              <w:ind w:left="20"/>
              <w:spacing w:after="0"/>
              <w:rPr>
                <w:sz w:val="20"/>
                <w:szCs w:val="20"/>
                <w:color w:val="auto"/>
              </w:rPr>
            </w:pPr>
            <w:r>
              <w:rPr>
                <w:rFonts w:ascii="Arial" w:cs="Arial" w:eastAsia="Arial" w:hAnsi="Arial"/>
                <w:sz w:val="18"/>
                <w:szCs w:val="18"/>
                <w:color w:val="auto"/>
                <w:w w:val="92"/>
              </w:rPr>
              <w:t xml:space="preserve">Registration Statement on Form S-8 with respect to 7,273,529 shares of Class A common stock, par value </w:t>
            </w:r>
            <w:r>
              <w:rPr>
                <w:rFonts w:ascii="Arial" w:cs="Arial" w:eastAsia="Arial" w:hAnsi="Arial"/>
                <w:sz w:val="18"/>
                <w:szCs w:val="18"/>
                <w:u w:val="single" w:color="auto"/>
                <w:color w:val="auto"/>
                <w:w w:val="92"/>
              </w:rPr>
              <w:t>$</w:t>
            </w:r>
            <w:r>
              <w:rPr>
                <w:rFonts w:ascii="Arial" w:cs="Arial" w:eastAsia="Arial" w:hAnsi="Arial"/>
                <w:sz w:val="18"/>
                <w:szCs w:val="18"/>
                <w:color w:val="auto"/>
                <w:w w:val="92"/>
              </w:rPr>
              <w:t>0.0001 per share</w:t>
            </w:r>
          </w:p>
        </w:tc>
      </w:tr>
      <w:tr>
        <w:trPr>
          <w:trHeight w:val="453"/>
        </w:trPr>
        <w:tc>
          <w:tcPr>
            <w:tcW w:w="1720" w:type="dxa"/>
            <w:vAlign w:val="bottom"/>
          </w:tcPr>
          <w:p>
            <w:pPr>
              <w:spacing w:after="0"/>
              <w:rPr>
                <w:sz w:val="20"/>
                <w:szCs w:val="20"/>
                <w:color w:val="auto"/>
              </w:rPr>
            </w:pPr>
            <w:r>
              <w:rPr>
                <w:rFonts w:ascii="Arial" w:cs="Arial" w:eastAsia="Arial" w:hAnsi="Arial"/>
                <w:sz w:val="18"/>
                <w:szCs w:val="18"/>
                <w:color w:val="auto"/>
                <w:w w:val="91"/>
              </w:rPr>
              <w:t>Ladies and Gentlemen:</w:t>
            </w:r>
          </w:p>
        </w:tc>
        <w:tc>
          <w:tcPr>
            <w:tcW w:w="20" w:type="dxa"/>
            <w:vAlign w:val="bottom"/>
          </w:tcPr>
          <w:p>
            <w:pPr>
              <w:spacing w:after="0"/>
              <w:rPr>
                <w:sz w:val="24"/>
                <w:szCs w:val="24"/>
                <w:color w:val="auto"/>
              </w:rPr>
            </w:pPr>
          </w:p>
        </w:tc>
        <w:tc>
          <w:tcPr>
            <w:tcW w:w="718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-2828290</wp:posOffset>
            </wp:positionV>
            <wp:extent cx="2571750" cy="196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571750" cy="196850"/>
                    </a:xfrm>
                    <a:prstGeom prst="rect">
                      <a:avLst/>
                    </a:prstGeom>
                    <a:noFill/>
                  </pic:spPr>
                </pic:pic>
              </a:graphicData>
            </a:graphic>
          </wp:anchor>
        </w:drawing>
      </w:r>
    </w:p>
    <w:p>
      <w:pPr>
        <w:spacing w:after="0" w:line="182"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We have acted as special counsel to GoHealth,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preparation and filing by the Company on the date hereof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of a Registration Statement (the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on Form S-8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relating to the issuance of up to 7,273,529 shares of Class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of the Company, par value $0.0001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which may be issued pursuant to the Company’s 2020 Incentive Award Plan (the “</w:t>
      </w:r>
      <w:r>
        <w:rPr>
          <w:rFonts w:ascii="Arial" w:cs="Arial" w:eastAsia="Arial" w:hAnsi="Arial"/>
          <w:sz w:val="16"/>
          <w:szCs w:val="16"/>
          <w:b w:val="1"/>
          <w:bCs w:val="1"/>
          <w:i w:val="1"/>
          <w:iCs w:val="1"/>
          <w:color w:val="auto"/>
        </w:rPr>
        <w:t>2020 Plan</w:t>
      </w:r>
      <w:r>
        <w:rPr>
          <w:rFonts w:ascii="Arial" w:cs="Arial" w:eastAsia="Arial" w:hAnsi="Arial"/>
          <w:sz w:val="16"/>
          <w:szCs w:val="16"/>
          <w:color w:val="auto"/>
        </w:rPr>
        <w:t>”) and the Company’s 2020 Employee Stock Purchase Plan (the “</w:t>
      </w:r>
      <w:r>
        <w:rPr>
          <w:rFonts w:ascii="Arial" w:cs="Arial" w:eastAsia="Arial" w:hAnsi="Arial"/>
          <w:sz w:val="16"/>
          <w:szCs w:val="16"/>
          <w:b w:val="1"/>
          <w:bCs w:val="1"/>
          <w:i w:val="1"/>
          <w:iCs w:val="1"/>
          <w:color w:val="auto"/>
        </w:rPr>
        <w:t>2020 ESPP</w:t>
      </w:r>
      <w:r>
        <w:rPr>
          <w:rFonts w:ascii="Arial" w:cs="Arial" w:eastAsia="Arial" w:hAnsi="Arial"/>
          <w:sz w:val="16"/>
          <w:szCs w:val="16"/>
          <w:color w:val="auto"/>
        </w:rPr>
        <w: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issuance of the Shares.</w:t>
      </w:r>
    </w:p>
    <w:p>
      <w:pPr>
        <w:spacing w:after="0" w:line="166"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any other laws.</w:t>
      </w:r>
    </w:p>
    <w:p>
      <w:pPr>
        <w:spacing w:after="0" w:line="187"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in excess of par value in the circumstances contemplated by the 2020 Plan and the 2020 ESPP, assuming in each case that the individual issuances, grants or awards under the 2020 Plan and the 2020 ESPP are duly authorized by all necessary corporate action and duly issued, granted or awarded and exercised in accordance with the requirements of law and the</w:t>
      </w:r>
    </w:p>
    <w:p>
      <w:pPr>
        <w:sectPr>
          <w:pgSz w:w="11900" w:h="16838" w:orient="portrait"/>
          <w:cols w:equalWidth="0" w:num="1">
            <w:col w:w="11020"/>
          </w:cols>
          <w:pgMar w:left="440" w:top="121" w:right="4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July 15, 2020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1688465" cy="2311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168846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2020 Plan and the 2020 ESPP (and the agreements duly adopted thereunder and in accordance therewith), the issue and sale of the Shares will have been duly authorized by all necessary corporate action of the Company, and such Shares will be validly issued, fully paid and non-assessable. In rendering the foregoing opinion, we have assumed that the Company will comply with all applicable notice requirements regarding uncertificated shares provided in the DGCL.</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0980"/>
          </w:cols>
          <w:pgMar w:left="440" w:top="270" w:right="47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2020 Incentive Award Plan and the 2020 Employee Stock Purchase Plan of GoHealth, Inc. of our report dated May 8, 2020, with respect to the financial statement of GoHealth, Inc. included in the Registration Statement, as amended (Form S-1 No. 333-239287) and related Prospectus of GoHealth, Inc., filed with the Securities and Exchange Commission.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15, 2020</w:t>
      </w:r>
    </w:p>
    <w:p>
      <w:pPr>
        <w:sectPr>
          <w:pgSz w:w="11900" w:h="16838" w:orient="portrait"/>
          <w:cols w:equalWidth="0" w:num="1">
            <w:col w:w="11020"/>
          </w:cols>
          <w:pgMar w:left="440" w:top="121" w:right="4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2020 Incentive Award Plan and the 2020 Employee Stock Purchase Plan of GoHealth, Inc. of our report dated May 8, 2020, with respect to the consolidated financial statements of GoHealth Holdings, LLC and Subsidiaries included in the Registration Statement of GoHealth, Inc., as amended (Form S-1 No. 333-239287) and related Prospectus of GoHealth, Inc., filed with the Securities and Exchange Commission.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15,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lowerRoman"/>
      <w:start w:val="2"/>
    </w:lvl>
  </w:abstractNum>
  <w:abstractNum w:abstractNumId="4">
    <w:nsid w:val="6763845E"/>
    <w:multiLevelType w:val="hybridMultilevel"/>
    <w:lvl w:ilvl="0">
      <w:lvlJc w:val="left"/>
      <w:lvlText w:val="(%1)"/>
      <w:numFmt w:val="decimal"/>
      <w:start w:val="2"/>
    </w:lvl>
  </w:abstractNum>
  <w:abstractNum w:abstractNumId="5">
    <w:nsid w:val="75A2A8D4"/>
    <w:multiLevelType w:val="hybridMultilevel"/>
    <w:lvl w:ilvl="0">
      <w:lvlJc w:val="left"/>
      <w:lvlText w:val="%1"/>
      <w:numFmt w:val="upperLetter"/>
      <w:start w:val="1"/>
    </w:lvl>
    <w:lvl w:ilvl="1">
      <w:lvlJc w:val="left"/>
      <w:lvlText w:val="(%2)"/>
      <w:numFmt w:val="decimal"/>
      <w:start w:val="3"/>
    </w:lvl>
  </w:abstractNum>
  <w:abstractNum w:abstractNumId="6">
    <w:nsid w:val="8EDBDAB"/>
    <w:multiLevelType w:val="hybridMultilevel"/>
    <w:lvl w:ilvl="0">
      <w:lvlJc w:val="left"/>
      <w:lvlText w:val="%1."/>
      <w:numFmt w:val="upperLetter"/>
      <w:start w:val="2"/>
    </w:lvl>
    <w:lvl w:ilvl="1">
      <w:lvlJc w:val="left"/>
      <w:lvlText w:val="%2"/>
      <w:numFmt w:val="decimal"/>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lowerLetter"/>
      <w:start w:val="1"/>
    </w:lvl>
    <w:lvl w:ilvl="1">
      <w:lvlJc w:val="left"/>
      <w:lvlText w:val="(%2)"/>
      <w:numFmt w:val="lowerRoman"/>
      <w:start w:val="1"/>
    </w:lvl>
  </w:abstractNum>
  <w:abstractNum w:abstractNumId="10">
    <w:nsid w:val="189A769B"/>
    <w:multiLevelType w:val="hybridMultilevel"/>
    <w:lvl w:ilvl="0">
      <w:lvlJc w:val="left"/>
      <w:lvlText w:val="(%1)"/>
      <w:numFmt w:val="lowerLetter"/>
      <w:start w:val="1"/>
    </w:lvl>
    <w:lvl w:ilvl="1">
      <w:lvlJc w:val="left"/>
      <w:lvlText w:val="(%2)"/>
      <w:numFmt w:val="lowerRoman"/>
      <w:start w:val="1"/>
    </w:lvl>
  </w:abstractNum>
  <w:abstractNum w:abstractNumId="11">
    <w:nsid w:val="54E49EB4"/>
    <w:multiLevelType w:val="hybridMultilevel"/>
    <w:lvl w:ilvl="0">
      <w:lvlJc w:val="left"/>
      <w:lvlText w:val="(%1)"/>
      <w:numFmt w:val="lowerLetter"/>
      <w:start w:val="3"/>
    </w:lvl>
  </w:abstractNum>
  <w:abstractNum w:abstractNumId="12">
    <w:nsid w:val="71F32454"/>
    <w:multiLevelType w:val="hybridMultilevel"/>
    <w:lvl w:ilvl="0">
      <w:lvlJc w:val="left"/>
      <w:lvlText w:val="(%1)"/>
      <w:numFmt w:val="lowerRoman"/>
      <w:start w:val="2"/>
    </w:lvl>
  </w:abstractNum>
  <w:abstractNum w:abstractNumId="13">
    <w:nsid w:val="2CA88611"/>
    <w:multiLevelType w:val="hybridMultilevel"/>
    <w:lvl w:ilvl="0">
      <w:lvlJc w:val="left"/>
      <w:lvlText w:val="(%1)"/>
      <w:numFmt w:val="lowerRoman"/>
      <w:start w:val="3"/>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lowerRoman"/>
      <w:start w:val="3"/>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1)"/>
      <w:numFmt w:val="lowerLetter"/>
      <w:start w:val="3"/>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1)"/>
      <w:numFmt w:val="lowerLetter"/>
      <w:start w:val="7"/>
    </w:lvl>
  </w:abstractNum>
  <w:abstractNum w:abstractNumId="21">
    <w:nsid w:val="6CEAF087"/>
    <w:multiLevelType w:val="hybridMultilevel"/>
    <w:lvl w:ilvl="0">
      <w:lvlJc w:val="left"/>
      <w:lvlText w:val="(%1)"/>
      <w:numFmt w:val="lowerLetter"/>
      <w:start w:val="26"/>
    </w:lvl>
    <w:lvl w:ilvl="1">
      <w:lvlJc w:val="left"/>
      <w:lvlText w:val="(%2)"/>
      <w:numFmt w:val="lowerLetter"/>
      <w:start w:val="10"/>
    </w:lvl>
    <w:lvl w:ilvl="2">
      <w:lvlJc w:val="left"/>
      <w:lvlText w:val="(%3)"/>
      <w:numFmt w:val="lowerRoman"/>
      <w:start w:val="1"/>
    </w:lvl>
  </w:abstractNum>
  <w:abstractNum w:abstractNumId="22">
    <w:nsid w:val="22221A70"/>
    <w:multiLevelType w:val="hybridMultilevel"/>
    <w:lvl w:ilvl="0">
      <w:lvlJc w:val="left"/>
      <w:lvlText w:val="(%1)"/>
      <w:numFmt w:val="lowerLetter"/>
      <w:start w:val="16"/>
    </w:lvl>
  </w:abstractNum>
  <w:abstractNum w:abstractNumId="23">
    <w:nsid w:val="4516DDE9"/>
    <w:multiLevelType w:val="hybridMultilevel"/>
    <w:lvl w:ilvl="0">
      <w:lvlJc w:val="left"/>
      <w:lvlText w:val="(%1)"/>
      <w:numFmt w:val="lowerLetter"/>
      <w:start w:val="1"/>
    </w:lvl>
  </w:abstractNum>
  <w:abstractNum w:abstractNumId="24">
    <w:nsid w:val="3006C83E"/>
    <w:multiLevelType w:val="hybridMultilevel"/>
    <w:lvl w:ilvl="0">
      <w:lvlJc w:val="left"/>
      <w:lvlText w:val="(%1)"/>
      <w:numFmt w:val="lowerLetter"/>
      <w:start w:val="2"/>
    </w:lvl>
  </w:abstractNum>
  <w:abstractNum w:abstractNumId="25">
    <w:nsid w:val="614FD4A1"/>
    <w:multiLevelType w:val="hybridMultilevel"/>
    <w:lvl w:ilvl="0">
      <w:lvlJc w:val="left"/>
      <w:lvlText w:val="(%1)"/>
      <w:numFmt w:val="lowerRoman"/>
      <w:start w:val="3"/>
    </w:lvl>
  </w:abstractNum>
  <w:abstractNum w:abstractNumId="26">
    <w:nsid w:val="419AC241"/>
    <w:multiLevelType w:val="hybridMultilevel"/>
    <w:lvl w:ilvl="0">
      <w:lvlJc w:val="left"/>
      <w:lvlText w:val="(%1)"/>
      <w:numFmt w:val="lowerLetter"/>
      <w:start w:val="1"/>
    </w:lvl>
  </w:abstractNum>
  <w:abstractNum w:abstractNumId="27">
    <w:nsid w:val="5577F8E1"/>
    <w:multiLevelType w:val="hybridMultilevel"/>
    <w:lvl w:ilvl="0">
      <w:lvlJc w:val="left"/>
      <w:lvlText w:val="(%1)"/>
      <w:numFmt w:val="lowerLetter"/>
      <w:start w:val="2"/>
    </w:lvl>
    <w:lvl w:ilvl="1">
      <w:lvlJc w:val="left"/>
      <w:lvlText w:val="(%2)"/>
      <w:numFmt w:val="lowerRoman"/>
      <w:start w:val="1"/>
    </w:lvl>
  </w:abstractNum>
  <w:abstractNum w:abstractNumId="28">
    <w:nsid w:val="440BADFC"/>
    <w:multiLevelType w:val="hybridMultilevel"/>
    <w:lvl w:ilvl="0">
      <w:lvlJc w:val="left"/>
      <w:lvlText w:val="%1"/>
      <w:numFmt w:val="lowerRoman"/>
      <w:start w:val="1"/>
    </w:lvl>
    <w:lvl w:ilvl="1">
      <w:lvlJc w:val="left"/>
      <w:lvlText w:val="(%2)"/>
      <w:numFmt w:val="lowerRoman"/>
      <w:start w:val="3"/>
    </w:lvl>
  </w:abstractNum>
  <w:abstractNum w:abstractNumId="29">
    <w:nsid w:val="5072367"/>
    <w:multiLevelType w:val="hybridMultilevel"/>
    <w:lvl w:ilvl="0">
      <w:lvlJc w:val="left"/>
      <w:lvlText w:val="(%1)"/>
      <w:numFmt w:val="lowerRoman"/>
      <w:start w:val="10"/>
    </w:lvl>
    <w:lvl w:ilvl="1">
      <w:lvlJc w:val="left"/>
      <w:lvlText w:val="%2"/>
      <w:numFmt w:val="lowerRoman"/>
      <w:start w:val="1"/>
    </w:lvl>
  </w:abstractNum>
  <w:abstractNum w:abstractNumId="30">
    <w:nsid w:val="3804823E"/>
    <w:multiLevelType w:val="hybridMultilevel"/>
    <w:lvl w:ilvl="0">
      <w:lvlJc w:val="left"/>
      <w:lvlText w:val="(%1)"/>
      <w:numFmt w:val="lowerLetter"/>
      <w:start w:val="4"/>
    </w:lvl>
  </w:abstractNum>
  <w:abstractNum w:abstractNumId="31">
    <w:nsid w:val="77465F01"/>
    <w:multiLevelType w:val="hybridMultilevel"/>
    <w:lvl w:ilvl="0">
      <w:lvlJc w:val="left"/>
      <w:lvlText w:val="(%1)"/>
      <w:numFmt w:val="lowerLetter"/>
      <w:start w:val="1"/>
    </w:lvl>
  </w:abstractNum>
  <w:abstractNum w:abstractNumId="32">
    <w:nsid w:val="7724C67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33">
    <w:nsid w:val="5C482A97"/>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3"/>
    </w:lvl>
  </w:abstractNum>
  <w:abstractNum w:abstractNumId="34">
    <w:nsid w:val="2463B9EA"/>
    <w:multiLevelType w:val="hybridMultilevel"/>
    <w:lvl w:ilvl="0">
      <w:lvlJc w:val="left"/>
      <w:lvlText w:val="%1"/>
      <w:numFmt w:val="lowerRoman"/>
      <w:start w:val="1"/>
    </w:lvl>
    <w:lvl w:ilvl="1">
      <w:lvlJc w:val="left"/>
      <w:lvlText w:val="(%2)"/>
      <w:numFmt w:val="lowerRoman"/>
      <w:start w:val="1"/>
    </w:lvl>
  </w:abstractNum>
  <w:abstractNum w:abstractNumId="35">
    <w:nsid w:val="5E884ADC"/>
    <w:multiLevelType w:val="hybridMultilevel"/>
    <w:lvl w:ilvl="0">
      <w:lvlJc w:val="left"/>
      <w:lvlText w:val="(%1)"/>
      <w:numFmt w:val="lowerRoman"/>
      <w:start w:val="2"/>
    </w:lvl>
    <w:lvl w:ilvl="1">
      <w:lvlJc w:val="left"/>
      <w:lvlText w:val="(%2)"/>
      <w:numFmt w:val="lowerRoman"/>
      <w:start w:val="3"/>
    </w:lvl>
  </w:abstractNum>
  <w:abstractNum w:abstractNumId="36">
    <w:nsid w:val="51EAD36B"/>
    <w:multiLevelType w:val="hybridMultilevel"/>
    <w:lvl w:ilvl="0">
      <w:lvlJc w:val="left"/>
      <w:lvlText w:val="(%1)"/>
      <w:numFmt w:val="lowerLetter"/>
      <w:start w:val="4"/>
    </w:lvl>
  </w:abstractNum>
  <w:abstractNum w:abstractNumId="37">
    <w:nsid w:val="2D517796"/>
    <w:multiLevelType w:val="hybridMultilevel"/>
    <w:lvl w:ilvl="0">
      <w:lvlJc w:val="left"/>
      <w:lvlText w:val="%1"/>
      <w:numFmt w:val="upperLetter"/>
      <w:start w:val="1"/>
    </w:lvl>
    <w:lvl w:ilvl="1">
      <w:lvlJc w:val="left"/>
      <w:lvlText w:val="(%2)"/>
      <w:numFmt w:val="lowerLetter"/>
      <w:start w:val="6"/>
    </w:lvl>
  </w:abstractNum>
  <w:abstractNum w:abstractNumId="38">
    <w:nsid w:val="580BD78F"/>
    <w:multiLevelType w:val="hybridMultilevel"/>
    <w:lvl w:ilvl="0">
      <w:lvlJc w:val="left"/>
      <w:lvlText w:val="(%1)"/>
      <w:numFmt w:val="upperLetter"/>
      <w:start w:val="2"/>
    </w:lvl>
    <w:lvl w:ilvl="1">
      <w:lvlJc w:val="left"/>
      <w:lvlText w:val="(%2)"/>
      <w:numFmt w:val="lowerLetter"/>
      <w:start w:val="7"/>
    </w:lvl>
  </w:abstractNum>
  <w:abstractNum w:abstractNumId="39">
    <w:nsid w:val="153EA438"/>
    <w:multiLevelType w:val="hybridMultilevel"/>
    <w:lvl w:ilvl="0">
      <w:lvlJc w:val="left"/>
      <w:lvlText w:val="(%1)"/>
      <w:numFmt w:val="lowerLetter"/>
      <w:start w:val="10"/>
    </w:lvl>
  </w:abstractNum>
  <w:abstractNum w:abstractNumId="40">
    <w:nsid w:val="3855585C"/>
    <w:multiLevelType w:val="hybridMultilevel"/>
    <w:lvl w:ilvl="0">
      <w:lvlJc w:val="left"/>
      <w:lvlText w:val="(%1)"/>
      <w:numFmt w:val="lowerLetter"/>
      <w:start w:val="1"/>
    </w:lvl>
  </w:abstractNum>
  <w:abstractNum w:abstractNumId="41">
    <w:nsid w:val="70A64E2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jpeg"/><Relationship Id="rId75" Type="http://schemas.openxmlformats.org/officeDocument/2006/relationships/image" Target="media/image66.png"/><Relationship Id="rId76" Type="http://schemas.openxmlformats.org/officeDocument/2006/relationships/image" Target="media/image67.jpeg"/><Relationship Id="rId23" Type="http://schemas.openxmlformats.org/officeDocument/2006/relationships/hyperlink" Target="http://www.sec.gov/Archives/edgar/data/1808220/000119312520189225/d797183dex106.htm" TargetMode="External"/><Relationship Id="rId24" Type="http://schemas.openxmlformats.org/officeDocument/2006/relationships/hyperlink" Target="http://www.sec.gov/Archives/edgar/data/1808220/000119312520189225/d797183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2020-07-15T16:28:37Z</dcterms:created>
  <dcterms:modified xsi:type="dcterms:W3CDTF">2020-07-15T16:28:37Z</dcterms:modified>
</cp:coreProperties>
</file>