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SECURITIES AND EXCHANGE COMMISSION</w:t>
      </w:r>
    </w:p>
    <w:p>
      <w:pPr>
        <w:ind w:left="3900"/>
        <w:spacing w:after="0"/>
        <w:rPr>
          <w:sz w:val="20"/>
          <w:szCs w:val="20"/>
          <w:color w:val="auto"/>
        </w:rPr>
      </w:pPr>
      <w:r>
        <w:rPr>
          <w:rFonts w:ascii="Arial" w:cs="Arial" w:eastAsia="Arial" w:hAnsi="Arial"/>
          <w:sz w:val="20"/>
          <w:szCs w:val="20"/>
          <w:b w:val="1"/>
          <w:bCs w:val="1"/>
          <w:color w:val="auto"/>
        </w:rPr>
        <w:t>Washington, DC 20549</w:t>
      </w:r>
    </w:p>
    <w:p>
      <w:pPr>
        <w:ind w:left="4760"/>
        <w:spacing w:after="0"/>
        <w:rPr>
          <w:sz w:val="20"/>
          <w:szCs w:val="20"/>
          <w:color w:val="auto"/>
        </w:rPr>
      </w:pPr>
      <w:r>
        <w:rPr>
          <w:rFonts w:ascii="Arial" w:cs="Arial" w:eastAsia="Arial" w:hAnsi="Arial"/>
          <w:sz w:val="20"/>
          <w:szCs w:val="20"/>
          <w:b w:val="1"/>
          <w:bCs w:val="1"/>
          <w:color w:val="auto"/>
        </w:rPr>
        <w:t> </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SCHEDULE 14A</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25"/>
          <w:szCs w:val="25"/>
          <w:b w:val="1"/>
          <w:bCs w:val="1"/>
          <w:color w:val="auto"/>
        </w:rPr>
        <w:t>(Rule 14a-101)</w:t>
      </w:r>
    </w:p>
    <w:p>
      <w:pPr>
        <w:spacing w:after="0" w:line="10" w:lineRule="exact"/>
        <w:rPr>
          <w:sz w:val="24"/>
          <w:szCs w:val="24"/>
          <w:color w:val="auto"/>
        </w:rPr>
      </w:pPr>
    </w:p>
    <w:p>
      <w:pPr>
        <w:ind w:left="4740"/>
        <w:spacing w:after="0"/>
        <w:rPr>
          <w:sz w:val="20"/>
          <w:szCs w:val="20"/>
          <w:color w:val="auto"/>
        </w:rPr>
      </w:pPr>
      <w:r>
        <w:rPr>
          <w:rFonts w:ascii="Arial" w:cs="Arial" w:eastAsia="Arial" w:hAnsi="Arial"/>
          <w:sz w:val="25"/>
          <w:szCs w:val="25"/>
          <w:b w:val="1"/>
          <w:bCs w:val="1"/>
          <w:color w:val="auto"/>
        </w:rPr>
        <w:t> </w:t>
      </w:r>
    </w:p>
    <w:p>
      <w:pPr>
        <w:ind w:left="2180"/>
        <w:spacing w:after="0" w:line="231" w:lineRule="auto"/>
        <w:rPr>
          <w:sz w:val="20"/>
          <w:szCs w:val="20"/>
          <w:color w:val="auto"/>
        </w:rPr>
      </w:pPr>
      <w:r>
        <w:rPr>
          <w:rFonts w:ascii="Arial" w:cs="Arial" w:eastAsia="Arial" w:hAnsi="Arial"/>
          <w:sz w:val="22"/>
          <w:szCs w:val="22"/>
          <w:b w:val="1"/>
          <w:bCs w:val="1"/>
          <w:color w:val="auto"/>
        </w:rPr>
        <w:t>INFORMATION REQUIRED IN PROXY STATEMENT</w:t>
      </w:r>
    </w:p>
    <w:p>
      <w:pPr>
        <w:ind w:left="3240"/>
        <w:spacing w:after="0" w:line="231" w:lineRule="auto"/>
        <w:rPr>
          <w:sz w:val="20"/>
          <w:szCs w:val="20"/>
          <w:color w:val="auto"/>
        </w:rPr>
      </w:pPr>
      <w:r>
        <w:rPr>
          <w:rFonts w:ascii="Arial" w:cs="Arial" w:eastAsia="Arial" w:hAnsi="Arial"/>
          <w:sz w:val="22"/>
          <w:szCs w:val="22"/>
          <w:b w:val="1"/>
          <w:bCs w:val="1"/>
          <w:color w:val="auto"/>
        </w:rPr>
        <w:t>SCHEDULE 14A INFORMATION</w:t>
      </w:r>
    </w:p>
    <w:p>
      <w:pPr>
        <w:ind w:left="4760"/>
        <w:spacing w:after="0" w:line="230" w:lineRule="auto"/>
        <w:rPr>
          <w:sz w:val="20"/>
          <w:szCs w:val="20"/>
          <w:color w:val="auto"/>
        </w:rPr>
      </w:pPr>
      <w:r>
        <w:rPr>
          <w:rFonts w:ascii="Arial" w:cs="Arial" w:eastAsia="Arial" w:hAnsi="Arial"/>
          <w:sz w:val="22"/>
          <w:szCs w:val="22"/>
          <w:b w:val="1"/>
          <w:bCs w:val="1"/>
          <w:color w:val="auto"/>
        </w:rPr>
        <w:t> </w:t>
      </w:r>
    </w:p>
    <w:p>
      <w:pPr>
        <w:ind w:left="2580"/>
        <w:spacing w:after="0" w:line="231" w:lineRule="auto"/>
        <w:rPr>
          <w:sz w:val="20"/>
          <w:szCs w:val="20"/>
          <w:color w:val="auto"/>
        </w:rPr>
      </w:pPr>
      <w:r>
        <w:rPr>
          <w:rFonts w:ascii="Arial" w:cs="Arial" w:eastAsia="Arial" w:hAnsi="Arial"/>
          <w:sz w:val="22"/>
          <w:szCs w:val="22"/>
          <w:b w:val="1"/>
          <w:bCs w:val="1"/>
          <w:color w:val="auto"/>
        </w:rPr>
        <w:t>Proxy Statement Pursuant to Section 14(a) of the</w:t>
      </w:r>
    </w:p>
    <w:p>
      <w:pPr>
        <w:ind w:left="336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ind w:left="3880"/>
        <w:spacing w:after="0"/>
        <w:tabs>
          <w:tab w:leader="none" w:pos="5760" w:val="left"/>
        </w:tabs>
        <w:rPr>
          <w:sz w:val="20"/>
          <w:szCs w:val="20"/>
          <w:color w:val="auto"/>
        </w:rPr>
      </w:pPr>
      <w:r>
        <w:rPr>
          <w:rFonts w:ascii="Arial" w:cs="Arial" w:eastAsia="Arial" w:hAnsi="Arial"/>
          <w:sz w:val="21"/>
          <w:szCs w:val="21"/>
          <w:b w:val="1"/>
          <w:bCs w:val="1"/>
          <w:color w:val="auto"/>
        </w:rPr>
        <w:t>(Amendment No.  </w:t>
      </w:r>
      <w:r>
        <w:rPr>
          <w:sz w:val="20"/>
          <w:szCs w:val="20"/>
          <w:color w:val="auto"/>
        </w:rPr>
        <w:tab/>
      </w:r>
      <w:r>
        <w:rPr>
          <w:rFonts w:ascii="Arial" w:cs="Arial" w:eastAsia="Arial" w:hAnsi="Arial"/>
          <w:sz w:val="22"/>
          <w:szCs w:val="22"/>
          <w:b w:val="1"/>
          <w:bCs w:val="1"/>
          <w:color w:val="auto"/>
        </w:rPr>
        <w:t>)</w:t>
      </w:r>
    </w:p>
    <w:p>
      <w:pPr>
        <w:spacing w:after="0" w:line="122" w:lineRule="exact"/>
        <w:rPr>
          <w:sz w:val="24"/>
          <w:szCs w:val="24"/>
          <w:color w:val="auto"/>
        </w:rPr>
      </w:pPr>
    </w:p>
    <w:p>
      <w:pPr>
        <w:spacing w:after="0" w:line="207" w:lineRule="exact"/>
        <w:tabs>
          <w:tab w:leader="none" w:pos="2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49"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GoHealth, Inc.</w:t>
      </w:r>
    </w:p>
    <w:p>
      <w:pPr>
        <w:spacing w:after="0" w:line="4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 </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390525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201930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262255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NOTICE &amp; PROXY STATEMENT</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 </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Annual Meeting of Stockholders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23, 2023</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 a.m. Eastern Daylight Time (9:00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Chicago, Illinois 60654</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April 11, 2023</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1300" w:right="1340"/>
        <w:spacing w:after="0" w:line="255" w:lineRule="auto"/>
        <w:rPr>
          <w:sz w:val="20"/>
          <w:szCs w:val="20"/>
          <w:color w:val="auto"/>
        </w:rPr>
      </w:pPr>
      <w:r>
        <w:rPr>
          <w:rFonts w:ascii="Arial" w:cs="Arial" w:eastAsia="Arial" w:hAnsi="Arial"/>
          <w:sz w:val="18"/>
          <w:szCs w:val="18"/>
          <w:color w:val="auto"/>
        </w:rPr>
        <w:t>You are cordially invited to attend the 2023 Annual Meeting of Stockholders (the “Annual Meeting”) of GoHealth, Inc. at 10:00 a.m. Eastern Daylight Time (9:00 a.m. Central Daylight Time), on Tuesday, May 23, 2023. The Annual Meeting will be a completely virtual meeting, which will be conducted via live webcast. In order to attend the Annual Meeting, vote during the Annual Meeting and submit questions, you must go to www.virtualshareholdermeeting.com/GOCO2023 and enter the 16-digit control number found in your proxy materials.</w:t>
      </w:r>
    </w:p>
    <w:p>
      <w:pPr>
        <w:spacing w:after="0" w:line="84" w:lineRule="exact"/>
        <w:rPr>
          <w:sz w:val="20"/>
          <w:szCs w:val="20"/>
          <w:color w:val="auto"/>
        </w:rPr>
      </w:pPr>
    </w:p>
    <w:p>
      <w:pPr>
        <w:jc w:val="both"/>
        <w:ind w:left="1300" w:right="1780"/>
        <w:spacing w:after="0" w:line="286" w:lineRule="auto"/>
        <w:rPr>
          <w:sz w:val="20"/>
          <w:szCs w:val="20"/>
          <w:color w:val="auto"/>
        </w:rPr>
      </w:pPr>
      <w:r>
        <w:rPr>
          <w:rFonts w:ascii="Arial" w:cs="Arial" w:eastAsia="Arial" w:hAnsi="Arial"/>
          <w:sz w:val="17"/>
          <w:szCs w:val="17"/>
          <w:color w:val="auto"/>
        </w:rPr>
        <w:t xml:space="preserve">The Notice of Meeting and Proxy Statement on the following pages describe the matters to be presented at the Annual Meeting. Please see the section called “Who can attend the Annual Meeting?” on page </w:t>
      </w:r>
      <w:r>
        <w:rPr>
          <w:rFonts w:ascii="Arial" w:cs="Arial" w:eastAsia="Arial" w:hAnsi="Arial"/>
          <w:sz w:val="17"/>
          <w:szCs w:val="17"/>
          <w:u w:val="single" w:color="auto"/>
          <w:color w:val="0000EE"/>
        </w:rPr>
        <w:t>41</w:t>
      </w:r>
      <w:r>
        <w:rPr>
          <w:rFonts w:ascii="Arial" w:cs="Arial" w:eastAsia="Arial" w:hAnsi="Arial"/>
          <w:sz w:val="17"/>
          <w:szCs w:val="17"/>
          <w:color w:val="auto"/>
        </w:rPr>
        <w:t xml:space="preserve"> of the proxy statement for more information about how to attend the Annual Meeting online.</w:t>
      </w:r>
    </w:p>
    <w:p>
      <w:pPr>
        <w:spacing w:after="0" w:line="57" w:lineRule="exact"/>
        <w:rPr>
          <w:sz w:val="20"/>
          <w:szCs w:val="20"/>
          <w:color w:val="auto"/>
        </w:rPr>
      </w:pPr>
    </w:p>
    <w:p>
      <w:pPr>
        <w:ind w:left="1300" w:right="1320"/>
        <w:spacing w:after="0" w:line="254" w:lineRule="auto"/>
        <w:rPr>
          <w:sz w:val="20"/>
          <w:szCs w:val="20"/>
          <w:color w:val="auto"/>
        </w:rPr>
      </w:pPr>
      <w:r>
        <w:rPr>
          <w:rFonts w:ascii="Arial" w:cs="Arial" w:eastAsia="Arial" w:hAnsi="Arial"/>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Thank you for your support.</w:t>
      </w:r>
    </w:p>
    <w:p>
      <w:pPr>
        <w:spacing w:after="0" w:line="3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134620</wp:posOffset>
            </wp:positionV>
            <wp:extent cx="899795" cy="642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64262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357505</wp:posOffset>
            </wp:positionV>
            <wp:extent cx="87439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ind w:left="1480"/>
              <w:spacing w:after="0"/>
              <w:rPr>
                <w:sz w:val="20"/>
                <w:szCs w:val="20"/>
                <w:color w:val="auto"/>
              </w:rPr>
            </w:pPr>
            <w:r>
              <w:rPr>
                <w:rFonts w:ascii="Arial" w:cs="Arial" w:eastAsia="Arial" w:hAnsi="Arial"/>
                <w:sz w:val="18"/>
                <w:szCs w:val="18"/>
                <w:color w:val="auto"/>
              </w:rPr>
              <w:t> </w:t>
            </w:r>
          </w:p>
        </w:tc>
        <w:tc>
          <w:tcPr>
            <w:tcW w:w="5820" w:type="dxa"/>
            <w:vAlign w:val="bottom"/>
          </w:tcPr>
          <w:p>
            <w:pPr>
              <w:ind w:left="1060"/>
              <w:spacing w:after="0"/>
              <w:rPr>
                <w:sz w:val="20"/>
                <w:szCs w:val="20"/>
                <w:color w:val="auto"/>
              </w:rPr>
            </w:pPr>
            <w:r>
              <w:rPr>
                <w:rFonts w:ascii="Arial" w:cs="Arial" w:eastAsia="Arial" w:hAnsi="Arial"/>
                <w:sz w:val="18"/>
                <w:szCs w:val="18"/>
                <w:color w:val="auto"/>
              </w:rPr>
              <w:t> </w:t>
            </w:r>
          </w:p>
        </w:tc>
      </w:tr>
      <w:tr>
        <w:trPr>
          <w:trHeight w:val="324"/>
        </w:trPr>
        <w:tc>
          <w:tcPr>
            <w:tcW w:w="5200" w:type="dxa"/>
            <w:vAlign w:val="bottom"/>
          </w:tcPr>
          <w:p>
            <w:pPr>
              <w:ind w:left="1300"/>
              <w:spacing w:after="0"/>
              <w:rPr>
                <w:sz w:val="20"/>
                <w:szCs w:val="20"/>
                <w:color w:val="auto"/>
              </w:rPr>
            </w:pPr>
            <w:r>
              <w:rPr>
                <w:rFonts w:ascii="Arial" w:cs="Arial" w:eastAsia="Arial" w:hAnsi="Arial"/>
                <w:sz w:val="18"/>
                <w:szCs w:val="18"/>
                <w:color w:val="auto"/>
              </w:rPr>
              <w:t>Clinton P. Jones</w:t>
            </w:r>
          </w:p>
        </w:tc>
        <w:tc>
          <w:tcPr>
            <w:tcW w:w="5820" w:type="dxa"/>
            <w:vAlign w:val="bottom"/>
          </w:tcPr>
          <w:p>
            <w:pPr>
              <w:ind w:left="1060"/>
              <w:spacing w:after="0"/>
              <w:rPr>
                <w:sz w:val="20"/>
                <w:szCs w:val="20"/>
                <w:color w:val="auto"/>
              </w:rPr>
            </w:pPr>
            <w:r>
              <w:rPr>
                <w:rFonts w:ascii="Arial" w:cs="Arial" w:eastAsia="Arial" w:hAnsi="Arial"/>
                <w:sz w:val="18"/>
                <w:szCs w:val="18"/>
                <w:color w:val="auto"/>
              </w:rPr>
              <w:t>Brandon Cruz</w:t>
            </w:r>
          </w:p>
        </w:tc>
      </w:tr>
      <w:tr>
        <w:trPr>
          <w:trHeight w:val="324"/>
        </w:trPr>
        <w:tc>
          <w:tcPr>
            <w:tcW w:w="5200" w:type="dxa"/>
            <w:vAlign w:val="bottom"/>
          </w:tcPr>
          <w:p>
            <w:pPr>
              <w:ind w:left="1300"/>
              <w:spacing w:after="0"/>
              <w:rPr>
                <w:sz w:val="20"/>
                <w:szCs w:val="20"/>
                <w:color w:val="auto"/>
              </w:rPr>
            </w:pPr>
            <w:r>
              <w:rPr>
                <w:rFonts w:ascii="Arial" w:cs="Arial" w:eastAsia="Arial" w:hAnsi="Arial"/>
                <w:sz w:val="18"/>
                <w:szCs w:val="18"/>
                <w:color w:val="auto"/>
              </w:rPr>
              <w:t>Co-Chairman of the Board of Directors</w:t>
            </w:r>
          </w:p>
        </w:tc>
        <w:tc>
          <w:tcPr>
            <w:tcW w:w="5820" w:type="dxa"/>
            <w:vAlign w:val="bottom"/>
          </w:tcPr>
          <w:p>
            <w:pPr>
              <w:ind w:left="1060"/>
              <w:spacing w:after="0"/>
              <w:rPr>
                <w:sz w:val="20"/>
                <w:szCs w:val="20"/>
                <w:color w:val="auto"/>
              </w:rPr>
            </w:pPr>
            <w:r>
              <w:rPr>
                <w:rFonts w:ascii="Arial" w:cs="Arial" w:eastAsia="Arial" w:hAnsi="Arial"/>
                <w:sz w:val="18"/>
                <w:szCs w:val="18"/>
                <w:color w:val="auto"/>
              </w:rPr>
              <w:t>Co-Chairman of the Board of Directors</w:t>
            </w:r>
          </w:p>
        </w:tc>
      </w:tr>
      <w:tr>
        <w:trPr>
          <w:trHeight w:val="236"/>
        </w:trPr>
        <w:tc>
          <w:tcPr>
            <w:tcW w:w="52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NOTICE OF ANNUAL MEETING OF STOCKHOLDERS</w:t>
            </w:r>
          </w:p>
        </w:tc>
        <w:tc>
          <w:tcPr>
            <w:tcW w:w="60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EE"/>
              </w:rPr>
              <w:t>ii</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Arial" w:cs="Arial" w:eastAsia="Arial" w:hAnsi="Arial"/>
                <w:sz w:val="18"/>
                <w:szCs w:val="18"/>
                <w:b w:val="1"/>
                <w:bCs w:val="1"/>
                <w:color w:val="0000EE"/>
              </w:rPr>
              <w:t>PROXY STATEMENT INTRODUCTION</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PROPOSALS TO BE VOTED ON</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0000EE"/>
              </w:rPr>
              <w:t>Proposal 1: Election of Directors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Proposal 2: Ratification of Appointment of Independent Registered Public Accounting Firm</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0000EE"/>
                <w:w w:val="91"/>
              </w:rPr>
              <w:t>Proposal 3: Advisory Vote to Approve the Compensation of the Company’s Named Executive Officers.</w:t>
            </w:r>
          </w:p>
        </w:tc>
        <w:tc>
          <w:tcPr>
            <w:tcW w:w="800" w:type="dxa"/>
            <w:vAlign w:val="bottom"/>
            <w:gridSpan w:val="4"/>
          </w:tcPr>
          <w:p>
            <w:pPr>
              <w:ind w:left="600"/>
              <w:spacing w:after="0"/>
              <w:rPr>
                <w:sz w:val="20"/>
                <w:szCs w:val="20"/>
                <w:color w:val="auto"/>
              </w:rPr>
            </w:pPr>
            <w:r>
              <w:rPr>
                <w:rFonts w:ascii="Arial" w:cs="Arial" w:eastAsia="Arial" w:hAnsi="Arial"/>
                <w:sz w:val="18"/>
                <w:szCs w:val="18"/>
                <w:color w:val="0000EE"/>
                <w:w w:val="89"/>
              </w:rPr>
              <w:t>10</w:t>
            </w:r>
          </w:p>
        </w:tc>
      </w:tr>
      <w:tr>
        <w:trPr>
          <w:trHeight w:val="75"/>
        </w:trPr>
        <w:tc>
          <w:tcPr>
            <w:tcW w:w="180" w:type="dxa"/>
            <w:vAlign w:val="bottom"/>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EXECUTIVE OFFICERS</w:t>
            </w:r>
          </w:p>
        </w:tc>
        <w:tc>
          <w:tcPr>
            <w:tcW w:w="7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0000EE"/>
                <w:w w:val="79"/>
              </w:rPr>
              <w:t>11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620" w:type="dxa"/>
            <w:vAlign w:val="bottom"/>
            <w:gridSpan w:val="16"/>
          </w:tcPr>
          <w:p>
            <w:pPr>
              <w:spacing w:after="0"/>
              <w:rPr>
                <w:sz w:val="20"/>
                <w:szCs w:val="20"/>
                <w:color w:val="auto"/>
              </w:rPr>
            </w:pPr>
            <w:r>
              <w:rPr>
                <w:rFonts w:ascii="Arial" w:cs="Arial" w:eastAsia="Arial" w:hAnsi="Arial"/>
                <w:sz w:val="18"/>
                <w:szCs w:val="18"/>
                <w:b w:val="1"/>
                <w:bCs w:val="1"/>
                <w:color w:val="0000EE"/>
              </w:rPr>
              <w:t>CORPORATE GOVERNANCE</w:t>
            </w:r>
          </w:p>
        </w:tc>
        <w:tc>
          <w:tcPr>
            <w:tcW w:w="800" w:type="dxa"/>
            <w:vAlign w:val="bottom"/>
            <w:gridSpan w:val="4"/>
          </w:tcPr>
          <w:p>
            <w:pPr>
              <w:ind w:left="600"/>
              <w:spacing w:after="0"/>
              <w:rPr>
                <w:sz w:val="20"/>
                <w:szCs w:val="20"/>
                <w:color w:val="auto"/>
              </w:rPr>
            </w:pPr>
            <w:r>
              <w:rPr>
                <w:rFonts w:ascii="Arial" w:cs="Arial" w:eastAsia="Arial" w:hAnsi="Arial"/>
                <w:sz w:val="18"/>
                <w:szCs w:val="18"/>
                <w:color w:val="0000EE"/>
                <w:w w:val="89"/>
              </w:rPr>
              <w:t>12</w:t>
            </w: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COMMITTEES OF THE BOARD</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0000EE"/>
                <w:w w:val="89"/>
              </w:rPr>
              <w:t>17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Arial" w:cs="Arial" w:eastAsia="Arial" w:hAnsi="Arial"/>
                <w:sz w:val="18"/>
                <w:szCs w:val="18"/>
                <w:b w:val="1"/>
                <w:bCs w:val="1"/>
                <w:color w:val="0000EE"/>
              </w:rPr>
              <w:t>EXECUTIVE COMPENSATION OVERVIEW</w:t>
            </w:r>
          </w:p>
        </w:tc>
        <w:tc>
          <w:tcPr>
            <w:tcW w:w="800" w:type="dxa"/>
            <w:vAlign w:val="bottom"/>
            <w:gridSpan w:val="4"/>
          </w:tcPr>
          <w:p>
            <w:pPr>
              <w:ind w:left="600"/>
              <w:spacing w:after="0"/>
              <w:rPr>
                <w:sz w:val="20"/>
                <w:szCs w:val="20"/>
                <w:color w:val="auto"/>
              </w:rPr>
            </w:pPr>
            <w:r>
              <w:rPr>
                <w:rFonts w:ascii="Arial" w:cs="Arial" w:eastAsia="Arial" w:hAnsi="Arial"/>
                <w:sz w:val="18"/>
                <w:szCs w:val="18"/>
                <w:color w:val="0000EE"/>
                <w:w w:val="89"/>
              </w:rPr>
              <w:t>19</w:t>
            </w:r>
          </w:p>
        </w:tc>
      </w:tr>
      <w:tr>
        <w:trPr>
          <w:trHeight w:val="75"/>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COMPENSATION TABLES</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0000EE"/>
                <w:w w:val="89"/>
              </w:rPr>
              <w:t>23</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620" w:type="dxa"/>
            <w:vAlign w:val="bottom"/>
            <w:gridSpan w:val="16"/>
          </w:tcPr>
          <w:p>
            <w:pPr>
              <w:spacing w:after="0"/>
              <w:rPr>
                <w:sz w:val="20"/>
                <w:szCs w:val="20"/>
                <w:color w:val="auto"/>
              </w:rPr>
            </w:pPr>
            <w:r>
              <w:rPr>
                <w:rFonts w:ascii="Arial" w:cs="Arial" w:eastAsia="Arial" w:hAnsi="Arial"/>
                <w:sz w:val="18"/>
                <w:szCs w:val="18"/>
                <w:b w:val="1"/>
                <w:bCs w:val="1"/>
                <w:color w:val="0000EE"/>
              </w:rPr>
              <w:t>SECURITY OWNERSHIP OF CERTAIN BENEFICIAL OWNERS AND MANAGEMENT</w:t>
            </w:r>
          </w:p>
        </w:tc>
        <w:tc>
          <w:tcPr>
            <w:tcW w:w="800" w:type="dxa"/>
            <w:vAlign w:val="bottom"/>
            <w:gridSpan w:val="4"/>
          </w:tcPr>
          <w:p>
            <w:pPr>
              <w:ind w:left="600"/>
              <w:spacing w:after="0"/>
              <w:rPr>
                <w:sz w:val="20"/>
                <w:szCs w:val="20"/>
                <w:color w:val="auto"/>
              </w:rPr>
            </w:pPr>
            <w:r>
              <w:rPr>
                <w:rFonts w:ascii="Arial" w:cs="Arial" w:eastAsia="Arial" w:hAnsi="Arial"/>
                <w:sz w:val="18"/>
                <w:szCs w:val="18"/>
                <w:color w:val="0000EE"/>
                <w:w w:val="89"/>
              </w:rPr>
              <w:t>31</w:t>
            </w: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CERTAIN RELATIONSHIPS AND RELATED PERSON TRANSACTIONS</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0000EE"/>
                <w:w w:val="89"/>
              </w:rPr>
              <w:t>34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Arial" w:cs="Arial" w:eastAsia="Arial" w:hAnsi="Arial"/>
                <w:sz w:val="18"/>
                <w:szCs w:val="18"/>
                <w:b w:val="1"/>
                <w:bCs w:val="1"/>
                <w:color w:val="0000EE"/>
              </w:rPr>
              <w:t>INFORMATION ABOUT THIS PROXY STATEMENT</w:t>
            </w:r>
          </w:p>
        </w:tc>
        <w:tc>
          <w:tcPr>
            <w:tcW w:w="800" w:type="dxa"/>
            <w:vAlign w:val="bottom"/>
            <w:gridSpan w:val="4"/>
          </w:tcPr>
          <w:p>
            <w:pPr>
              <w:ind w:left="600"/>
              <w:spacing w:after="0"/>
              <w:rPr>
                <w:sz w:val="20"/>
                <w:szCs w:val="20"/>
                <w:color w:val="auto"/>
              </w:rPr>
            </w:pPr>
            <w:r>
              <w:rPr>
                <w:rFonts w:ascii="Arial" w:cs="Arial" w:eastAsia="Arial" w:hAnsi="Arial"/>
                <w:sz w:val="18"/>
                <w:szCs w:val="18"/>
                <w:color w:val="0000EE"/>
                <w:w w:val="89"/>
              </w:rPr>
              <w:t>40</w:t>
            </w:r>
          </w:p>
        </w:tc>
      </w:tr>
      <w:tr>
        <w:trPr>
          <w:trHeight w:val="75"/>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0000EE"/>
              </w:rPr>
              <w:t>QUESTIONS AND ANSWERS ABOUT THE 2023 ANNUAL MEETING OF STOCKHOLDERS</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0000EE"/>
                <w:w w:val="89"/>
              </w:rPr>
              <w:t>41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b w:val="1"/>
                <w:bCs w:val="1"/>
                <w:color w:val="0000EE"/>
              </w:rPr>
              <w:t>CERTAIN DEFINITIONS</w:t>
            </w:r>
          </w:p>
        </w:tc>
        <w:tc>
          <w:tcPr>
            <w:tcW w:w="5580" w:type="dxa"/>
            <w:vAlign w:val="bottom"/>
            <w:gridSpan w:val="13"/>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Arial" w:cs="Arial" w:eastAsia="Arial" w:hAnsi="Arial"/>
                <w:sz w:val="18"/>
                <w:szCs w:val="18"/>
                <w:color w:val="0000EE"/>
                <w:w w:val="89"/>
              </w:rPr>
              <w:t>46</w:t>
            </w:r>
          </w:p>
        </w:tc>
      </w:tr>
      <w:tr>
        <w:trPr>
          <w:trHeight w:val="20"/>
        </w:trPr>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92075</wp:posOffset>
            </wp:positionV>
            <wp:extent cx="243459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Chicago, Illinois 60654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Tuesday May 23, 2023</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10:00 a.m. Eastern Daylight Time (9:00 Central Daylight Time)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Virtual Meeting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www.virtualshareholdermeeting.com/GOCO2023</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Items of Business:</w:t>
      </w:r>
    </w:p>
    <w:p>
      <w:pPr>
        <w:spacing w:after="0" w:line="117" w:lineRule="exact"/>
        <w:rPr>
          <w:sz w:val="20"/>
          <w:szCs w:val="20"/>
          <w:color w:val="auto"/>
        </w:rPr>
      </w:pPr>
    </w:p>
    <w:p>
      <w:pPr>
        <w:ind w:left="1000" w:right="43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Clinton P. Jones, Jeremy W. Gelber, and Dr. Karolina H. Hilu as Class III Directors to serve until the 2026 Annual Meeting of Stockholders, and until their respective successors shall have been duly elected and qualified;</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fiscal year 2023;</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cast a non-binding, advisory vote to approve the compensation of the Company’s Named Executive Officers (“Say-on-Pay Vote”);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1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Record Date: Only stockholders of record at the close of business on March 28, 2023 will be entitled to receive notice and to vote at the meeting.</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Your vote is important to us. Please execute your proxy promptly.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83185</wp:posOffset>
            </wp:positionV>
            <wp:extent cx="8572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P. Farley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11, 2023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Chicago, Illinois 60654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INTRODUCTION</w:t>
      </w:r>
    </w:p>
    <w:p>
      <w:pPr>
        <w:spacing w:after="0" w:line="121"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 xml:space="preserve">This proxy statement is furnished in connection with the solicitation by the Board of Directors of GoHealth, Inc. of proxies to be voted at our Annual Meeting of Stockholders to be held on Tuesday, May 23, 2023 (the “Annual Meeting”), at 10:00 a.m. Eastern Daylight Time (9:00 a.m. Central Daylight Time), and at any continuation, postponement, or adjournment of the Annual Meeting. The Annual Meeting will be a completely virtual meeting, which will be conducted via live webcast. You will be able to attend the Annual Meeting online and submit your questions during the Annual Meeting by visiting </w:t>
      </w:r>
      <w:r>
        <w:rPr>
          <w:rFonts w:ascii="Arial" w:cs="Arial" w:eastAsia="Arial" w:hAnsi="Arial"/>
          <w:sz w:val="17"/>
          <w:szCs w:val="17"/>
          <w:i w:val="1"/>
          <w:iCs w:val="1"/>
          <w:color w:val="auto"/>
        </w:rPr>
        <w:t>www.virtualshareholdermeeting.com/GOCO2023</w:t>
      </w:r>
      <w:r>
        <w:rPr>
          <w:rFonts w:ascii="Arial" w:cs="Arial" w:eastAsia="Arial" w:hAnsi="Arial"/>
          <w:sz w:val="17"/>
          <w:szCs w:val="17"/>
          <w:color w:val="auto"/>
        </w:rPr>
        <w:t xml:space="preserve"> and entering your 16-digit control number included in your Notice of Internet Availability of Proxy Materials, on your proxy card or on the instructions that accompanied your proxy materials.</w:t>
      </w:r>
    </w:p>
    <w:p>
      <w:pPr>
        <w:spacing w:after="0" w:line="70"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Holders of record of outstanding shares of capital stock, subject to the GoHealth Holdings, LLC Agreement, comprised of shares of our Series A Convertible Perpetual Preferred Stock (“Series A Preferred Stock”), Class A common stock, $0.0001 par value per share, and our Class B common stock, $0.0001 par value per share (together, our “common stock”), as of the close of business on March 28, 2023 (the “Record Date”), will be entitled to notice of and to vote at the Annual Meeting and any continuation, postponement, or adjournment of the Annual Meeting, and will vote together as a single class on all matters presented at the Annual Meeting. As of the Record Date, there were 50,000 shares of Series A Preferred Stock, 8,982,096 shares of Class A common stock and 13,053,374 shares of Class B common stock outstanding and entitled to vote at the Annual Meeting. Holders of the Series A Preferred Stock vote as a single class with the holders of Class A common stock (and any other classes as applicable) based upon the number of Class A common stock shares that would be granted upon conversion as of the Record Date and subject to the voting cap noted below. As of the Record Date, the Series A Preferred Stock were convertible into 5,306,613 shares of Class A common stock; however, the voting interests of the two holders of Series A Preferred Stock is capped at 9.99% and 4.999% pursuant to the Certificate of Designation. Each share of Class A common stock and Class B common stock, subject to the GoHealth Holdings, LLC Agreement, is entitled to one vote on any matter presented to stockholders at the Annual Meeting.</w:t>
      </w:r>
    </w:p>
    <w:p>
      <w:pPr>
        <w:spacing w:after="0" w:line="59"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This proxy statement and the Company’s Annual Report to Stockholders on Form 10-K for the year ended December 31, 2022 (the “2022 Annual Report”) will be released on or about April 11, 2023 to our stockholders on the Record Date.</w:t>
      </w:r>
    </w:p>
    <w:p>
      <w:pPr>
        <w:spacing w:after="0" w:line="72"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MAY 23, 2023</w:t>
      </w:r>
    </w:p>
    <w:p>
      <w:pPr>
        <w:spacing w:after="0" w:line="54" w:lineRule="exact"/>
        <w:rPr>
          <w:sz w:val="20"/>
          <w:szCs w:val="20"/>
          <w:color w:val="auto"/>
        </w:rPr>
      </w:pPr>
    </w:p>
    <w:p>
      <w:pPr>
        <w:ind w:left="300" w:right="2339"/>
        <w:spacing w:after="0" w:line="282" w:lineRule="auto"/>
        <w:rPr>
          <w:sz w:val="20"/>
          <w:szCs w:val="20"/>
          <w:color w:val="auto"/>
        </w:rPr>
      </w:pPr>
      <w:r>
        <w:rPr>
          <w:rFonts w:ascii="Arial" w:cs="Arial" w:eastAsia="Arial" w:hAnsi="Arial"/>
          <w:sz w:val="18"/>
          <w:szCs w:val="18"/>
          <w:b w:val="1"/>
          <w:bCs w:val="1"/>
          <w:color w:val="auto"/>
        </w:rPr>
        <w:t>This Proxy Statement and our 2022 Annual Report to Stockholders are available at http://www.proxyvote.com/</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ind w:left="1000" w:right="47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Clinton P. Jones, Jeremy W. Gelber and Dr. Karolina H. Hilu as Class III Directors to serve until the 2026 Annual Meeting of Stockholders, and until their respective successors shall have been duly elected and qualified;</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2023;</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cast a non-binding, advisory vote to approve the compensation of the Company’s Named Executive Officers (“Say-on-Pay Vote”);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17" w:lineRule="exact"/>
        <w:rPr>
          <w:sz w:val="20"/>
          <w:szCs w:val="20"/>
          <w:color w:val="auto"/>
        </w:rPr>
      </w:pPr>
    </w:p>
    <w:p>
      <w:pPr>
        <w:jc w:val="both"/>
        <w:ind w:left="300" w:right="719"/>
        <w:spacing w:after="0" w:line="286"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Recommendations of the Board</w:t>
      </w:r>
    </w:p>
    <w:p>
      <w:pPr>
        <w:spacing w:after="0" w:line="121" w:lineRule="exact"/>
        <w:rPr>
          <w:sz w:val="20"/>
          <w:szCs w:val="20"/>
          <w:color w:val="auto"/>
        </w:rPr>
      </w:pPr>
    </w:p>
    <w:p>
      <w:pPr>
        <w:ind w:left="300" w:right="459"/>
        <w:spacing w:after="0" w:line="257" w:lineRule="auto"/>
        <w:rPr>
          <w:sz w:val="20"/>
          <w:szCs w:val="20"/>
          <w:color w:val="auto"/>
        </w:rPr>
      </w:pPr>
      <w:r>
        <w:rPr>
          <w:rFonts w:ascii="Arial" w:cs="Arial" w:eastAsia="Arial" w:hAnsi="Arial"/>
          <w:sz w:val="18"/>
          <w:szCs w:val="18"/>
          <w:color w:val="auto"/>
        </w:rPr>
        <w:t>The Board of Directors of the Company (the “Board of Directors” or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80"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Clinton P. Jones, Jeremy W. Gelber and Dr. Karolina H. Hilu;</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approval, on an advisory basis, of the compensation of our Named Executive Officers.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92075</wp:posOffset>
            </wp:positionV>
            <wp:extent cx="243459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We currently have nine (9) directors on our Board. The Board has nominated three (3) Class III Directors, Clinton P. Jones, Jeremy W. Gelber and Dr. Karolina H. Hilu, to be elected to the Board at the Annual Meeting. If elected by our stockholders, each nominee will serve a three-year term expiring at the Annual Meeting of Stockholders to be held in 2026. Each director will hold office until such director’s respective successor is elected and qualified or until each such director’s earlier death, resignation or removal.</w:t>
      </w:r>
    </w:p>
    <w:p>
      <w:pPr>
        <w:spacing w:after="0" w:line="68"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2024 Annual Meeting; Class II, whose term currently expires at the 2025 Annual Meeting; and Class III, whose term will expire at the Annual Meeting and whose subsequent term will expire at the 2026 Annual Meeting. The current Class I Directors are Alexander E. Timm, David Fisher and Vijay Kotte; the current Class II Directors are Brandon M. Cruz, Joseph G. Flanagan and Christopher C. Litchford; and the current Class III Directors are Clinton P. Jones, Jeremy W. Gelber and Dr. Karolina H. Hilu.</w:t>
      </w:r>
    </w:p>
    <w:p>
      <w:pPr>
        <w:spacing w:after="0" w:line="73"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69"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color w:val="auto"/>
        </w:rPr>
        <w:t>In connection with the IPO of our Class A common stock in July 2020, we entered into a Stockholders’ Agreement between the Company and certain stockholders of the Company, including Centerbridge and NVX Holdings.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68"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If you submit a proxy but do not indicate any voting instructions, the persons named as proxies will vote the shares of common stock represented thereby for the election as a Class III Director of the person whose name and biography appears below. In the event that any of Mr. Jones, Mr. Gelber or Dr. Hilu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Jones, Mr. Gelber and Dr. Hilu will be unable to serve if elected. Each of Mr. Jones, Mr. Gelber and Dr. Hilu has consented to being named in this proxy statement and to serve if elected.</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The proposal regarding the election of directors requires the approval of a plurality of the votes cast. This means that the nominees receiving the highest number of affirmative “FOR” votes will be elected as Class III Directors.</w:t>
      </w:r>
    </w:p>
    <w:p>
      <w:pPr>
        <w:spacing w:after="0" w:line="16"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Votes withheld and broker non-votes are not considered to be votes cast and, accordingly, will have no effect on the outcome of the vote on this proposal.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77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the below Class III Director nominees.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Nominees For Class III Directors (terms to expire at the 2026 Annual Meeting)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current members of the Board of Directors who are also nominees for election to the Board of Directors as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III Directors are as follows: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54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Co-Chairman of the Board of Directors</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Karolina H. Hilu, M.D.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The principal occupations and business experience of each Class III Director nominee for election at the Annual Meeting are as follows: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Clinton P. Jones</w:t>
      </w:r>
    </w:p>
    <w:p>
      <w:pPr>
        <w:spacing w:after="0" w:line="117" w:lineRule="exact"/>
        <w:rPr>
          <w:sz w:val="20"/>
          <w:szCs w:val="20"/>
          <w:color w:val="auto"/>
        </w:rPr>
      </w:pPr>
    </w:p>
    <w:p>
      <w:pPr>
        <w:ind w:left="300" w:right="419"/>
        <w:spacing w:after="0" w:line="270" w:lineRule="auto"/>
        <w:rPr>
          <w:sz w:val="20"/>
          <w:szCs w:val="20"/>
          <w:color w:val="auto"/>
        </w:rPr>
      </w:pPr>
      <w:r>
        <w:rPr>
          <w:rFonts w:ascii="Arial" w:cs="Arial" w:eastAsia="Arial" w:hAnsi="Arial"/>
          <w:sz w:val="17"/>
          <w:szCs w:val="17"/>
          <w:color w:val="auto"/>
        </w:rPr>
        <w:t>Clinton P. Jones is the co-founder of GoHealth, Inc. and served as GoHealth, Inc.’s Chief Executive Officer since GoHealth, Inc.’s founding in 2001 until 2022. He has also been a member of GoHealth, Inc.’s Board of Directors since 2020, as well as serving on the board of managers of GoHealth, Inc.’s predecessor since its founding in 2001. He also serves as a member of the board of directors of Bridge Legal. From June 2000 to January 2001, Mr. Jones served as Intranet Market Manager for Holt Value, a former division of Credit Suisse Group AG. Mr. Jones holds Bachelor of Science degrees in both Marketing and Management Information Systems from Miami University. We believe Mr. Jones is qualified to serve on GoHealth, Inc.’s Board of Directors due to his extensive experience in the insurance industry and his knowledge of our business, gained through his services as our co-founder and Chief Executive Officer.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Jeremy W. Gelber</w:t>
      </w:r>
    </w:p>
    <w:p>
      <w:pPr>
        <w:spacing w:after="0" w:line="117"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Jeremy W. Gelber has served as a member of GoHealth, Inc.’s Board of Directors since 2020.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from 2013 to 2018, and also served as Executive Director in the Healthcare Investment Banking Division at Morgan Stanley from 2006 until 2013. Mr. Gelber holds a Bachelor of Science degree from Dartmouth College and a Doctor of Medicine degree from Jefferson Medical College. We believe Mr. Gelber is qualified to serve on GoHealth, Inc.’s Board of Directors due to his knowledge of the healthcare industry, broad financial expertise and many years of leadership experience.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Dr. Karolina H. Hilu</w:t>
      </w:r>
    </w:p>
    <w:p>
      <w:pPr>
        <w:spacing w:after="0" w:line="117"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Dr. Karolina H. Hilu is an advisor to several high-growth public and private health tech companies, including HealthJoy, LLC. She was the founding Chief Executive Officer of Emsana Health, Inc., a value-based purchasing start-up, in 2020 as well as Chief Strategy Officer of Crossover Health, a pioneer in the tech-enabled direct primary care industry from 2015 to 2020. She started her career in corporate strategy at The Advisory Board Company and in healthcare investing at HLM Venture Partners and Merrill Lynch. Dr. Hilu earned a bachelor’s degree from Harvard University and an MD and an MBA in Finance and Accounting from The University of Chicago. Dr. Hilu’s extensive experience in both strategy and the healthcare field, specifically in growth and technology areas, along with her leadership experiences make her well-positioned to serve as a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I Directors (terms to expire at the 2024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54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Fisher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Vijay Kotte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David Fisher</w:t>
      </w:r>
    </w:p>
    <w:p>
      <w:pPr>
        <w:spacing w:after="0" w:line="117"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David Fisher is Chief Executive Officer and Chairman of the Board of Directors of Enova International, Inc. (NYSE: ENVA) (“Enova”), a leading technology and analytics company focused on online lending. Prior to joining Enova in 2013, Mr. Fisher served as the Chief Executive Officer and member of the Board of Directors of optionsXpress Holdings, Inc. (“optionsXpress”), during which time he spearheaded the company’s sale to Charles Schwab Corporation. Before joining optionsXpress, he held Chief Financial Officer positions at Potbelly Sandwich Works and Prism Financial Corporation. Mr. Fisher is a member of the Board of Innerworkings, Inc., a global print management firm, and GrubHub Inc., a leading online and mobile food-ordering company. Mr. Fisher holds a Bachelor of Science degree in finance with high honors from the University of Illinois at Urbana-Champaign and a juris doctor, Magna Cum Laude, from the Northwestern University School of Law. Mr. Fisher’s extensive experience and leadership experience with large companies, along with his vast knowledge and experience in financial matters, make him well qualified to serve as a director and as Chair of the Audit Committee.</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Vijay Kotte</w:t>
      </w:r>
    </w:p>
    <w:p>
      <w:pPr>
        <w:spacing w:after="0" w:line="117"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Vijay Kotte joined GoHealth, Inc. as Chief Executive Officer in 2022. Mr. Kotte brings more than two decades of experience developing and transforming innovative healthcare models and Medicare-focused platforms at public and private ventures. Prior to GoHealth, Mr. Kotte served as Chief Solutions Officer and Executive Vice President at R1 RCM Inc. (“R1”) (Nasdaq: RCM), a healthcare revenue cycle management company, from 2019 to 2022. In this role, he was responsible for R1’s physician-focused operations, including growth, product development, and strategic initiatives. Prior to R1, Mr. Kotte was the Chief Value Officer for DaVita Medical Group, one of the nation’s leading independent medical groups that operates medical clinics providing primary and specialist care, from 2014 to 2019 and, prior to that, Mr. Kotte served in various financial and operational roles with various entities in the healthcare industry. Mr. Kotte holds a Bachelor’s degree in Business Administration with a focus on Finance and Organizational Management from Emory University and a MBA from Kellogg School of Management, Northwestern University. Mr. Kotte’s experience in innovative healthcare models, public company financial operations, strategy and leadership make him well qualified to serve as a director of GoHealth.</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Alexander E. Timm</w:t>
      </w:r>
    </w:p>
    <w:p>
      <w:pPr>
        <w:spacing w:after="0" w:line="117" w:lineRule="exact"/>
        <w:rPr>
          <w:sz w:val="20"/>
          <w:szCs w:val="20"/>
          <w:color w:val="auto"/>
        </w:rPr>
      </w:pPr>
    </w:p>
    <w:p>
      <w:pPr>
        <w:ind w:left="300" w:right="359"/>
        <w:spacing w:after="0" w:line="271" w:lineRule="auto"/>
        <w:rPr>
          <w:sz w:val="20"/>
          <w:szCs w:val="20"/>
          <w:color w:val="auto"/>
        </w:rPr>
      </w:pPr>
      <w:r>
        <w:rPr>
          <w:rFonts w:ascii="Arial" w:cs="Arial" w:eastAsia="Arial" w:hAnsi="Arial"/>
          <w:sz w:val="17"/>
          <w:szCs w:val="17"/>
          <w:color w:val="auto"/>
        </w:rPr>
        <w:t>Alexander E. Timm has served as a member of GoHealth, Inc.’s board of directors since 2020 and as a member of GoHealth Holdings, LLC’s board of managers since 2020. Mr. Timm is also the Chief Executive Officer and a member of the Board of Directors of Root Inc. (Nasdaq: ROOT), an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 We believe Mr. Timm is qualified to serve on GoHealth, Inc.’s board of directors due to his extensive insurance industry experience, as well as his success in the entrepreneurial, technology, and data science industries.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II Directors (terms to expire at the 2025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54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Brandon M. Cruz</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Co-Chairman of the Board of Directors</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Litchford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Brandon M. Cruz</w:t>
      </w:r>
    </w:p>
    <w:p>
      <w:pPr>
        <w:spacing w:after="0" w:line="117"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Brandon M. Cruz is the co-founder of GoHealth, Inc. and served as GoHealth, Inc.’s Chief Strategy Officer and Special Advisor to the Executive Team from 2020 to 2022. Prior to this role, he served as President of GoHealth, Inc. since its founding in 2001 until 2020. He has also been a member of GoHealth, Inc.’s board of directors since 2020, as well as serving on the board of managers of GoHealth, Inc.’s predecessor since its founding. He serves on the board of HealthJoy, LLC, a private health tech company. Mr. Cruz holds a Bachelor of Science degree in Management Information Systems from Miami University and is a member of the Miami University Business Advisory Council. We believe Mr. Cruz is qualified to serve on GoHealth, Inc.’s board of directors due to his extensive experience in the insurance industry and his knowledge of our business, gained through his services as our co-founder and Chief Strategy Officer and Special Advisor to the Executive Team.</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Joseph G. Flanagan</w:t>
      </w:r>
    </w:p>
    <w:p>
      <w:pPr>
        <w:spacing w:after="0" w:line="117" w:lineRule="exact"/>
        <w:rPr>
          <w:sz w:val="20"/>
          <w:szCs w:val="20"/>
          <w:color w:val="auto"/>
        </w:rPr>
      </w:pPr>
    </w:p>
    <w:p>
      <w:pPr>
        <w:ind w:left="300" w:right="439"/>
        <w:spacing w:after="0" w:line="284" w:lineRule="auto"/>
        <w:rPr>
          <w:sz w:val="20"/>
          <w:szCs w:val="20"/>
          <w:color w:val="auto"/>
        </w:rPr>
      </w:pPr>
      <w:r>
        <w:rPr>
          <w:rFonts w:ascii="Arial" w:cs="Arial" w:eastAsia="Arial" w:hAnsi="Arial"/>
          <w:sz w:val="16"/>
          <w:szCs w:val="16"/>
          <w:color w:val="auto"/>
        </w:rPr>
        <w:t>Joseph G. Flanagan has served as a member of GoHealth, Inc.’s board of directors since 2020. Mr. Flanagan is currently the Executive Advisor to the Chief Executive Officer and a director at R1 RCM Inc. (Nasdaq: RCM), a healthcare revenue cycle management company. Mr. Flanagan recently retired from his role as the President and Chief Executive Officer of R1, a role he served in since May 2016, after having served as R1’s President and Chief Operating Officer since April 2016. Mr. Flanagan joined R1 as Chief Operating Officer in April 2013 after serving as Senior Vice 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w:t>
      </w:r>
    </w:p>
    <w:p>
      <w:pPr>
        <w:spacing w:after="0" w:line="1" w:lineRule="exact"/>
        <w:rPr>
          <w:sz w:val="20"/>
          <w:szCs w:val="20"/>
          <w:color w:val="auto"/>
        </w:rPr>
      </w:pPr>
    </w:p>
    <w:p>
      <w:pPr>
        <w:ind w:left="300" w:right="479"/>
        <w:spacing w:after="0" w:line="253" w:lineRule="auto"/>
        <w:rPr>
          <w:sz w:val="20"/>
          <w:szCs w:val="20"/>
          <w:color w:val="auto"/>
        </w:rPr>
      </w:pPr>
      <w:r>
        <w:rPr>
          <w:rFonts w:ascii="Arial" w:cs="Arial" w:eastAsia="Arial" w:hAnsi="Arial"/>
          <w:sz w:val="18"/>
          <w:szCs w:val="18"/>
          <w:color w:val="auto"/>
        </w:rPr>
        <w:t>Mr. Flanagan worked for General Electric Company, holding leadership positions in many divisions. Mr. Flanagan holds a Bachelor of Science degree in Engineering from the United States Merchant Marine Academy. We believe Mr. Flanagan is qualified to serve on GoHealth, Inc.’s board of directors due to his in-depth knowledge of the healthcare industry as well as his leadership and operational expertise.</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Christopher C. Litchford</w:t>
      </w:r>
    </w:p>
    <w:p>
      <w:pPr>
        <w:spacing w:after="0" w:line="117"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Christopher C. Litchford has served as a member of GoHealth, Inc.’s board of directors since 2022. Mr. Litchford has been a Managing Director of Centerbridge since 2018 where he focuses on investments in the technology sector. Prior to joining Centerbridge, Mr. Litchford was a principal in the Tech &amp; Telecom Group at Court Square Capital Partners, a private equity fund, from 2010 to 2018. Prior to joining Court Square, Mr. Litchford was an Investment Banking Analyst with Morgan Stanley. Mr. Litchford holds a Bachelor of Science degree from the University of North Carolina, Chapel Hill. Mr. Litchford’s is qualified to serve as a director of GoHealth due to his extensive knowledge in the technology space, broad financial expertise and years of leadership experience.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2023.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80"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Ernst &amp; Young LLP also served as our independent registered public accounting firm for the fiscal year ended December 31, 2022.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2023 Annual Meeting and to have an opportunity to make a statement and be available to respond to appropriate questions from stockholders.</w:t>
      </w:r>
    </w:p>
    <w:p>
      <w:pPr>
        <w:spacing w:after="0" w:line="53"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2023. Even if the appointment of Ernst &amp; Young LLP is ratified, the Audit Committee retains the discretion to appoint a different independent registered public accounting firm at any time if it determines that such a change is in the best interest of the Company.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499"/>
        <w:spacing w:after="0" w:line="279" w:lineRule="auto"/>
        <w:rPr>
          <w:sz w:val="20"/>
          <w:szCs w:val="20"/>
          <w:color w:val="auto"/>
        </w:rPr>
      </w:pPr>
      <w:r>
        <w:rPr>
          <w:rFonts w:ascii="Arial" w:cs="Arial" w:eastAsia="Arial" w:hAnsi="Arial"/>
          <w:sz w:val="17"/>
          <w:szCs w:val="17"/>
          <w:color w:val="auto"/>
        </w:rPr>
        <w:t>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59" w:lineRule="exact"/>
        <w:rPr>
          <w:sz w:val="20"/>
          <w:szCs w:val="20"/>
          <w:color w:val="auto"/>
        </w:rPr>
      </w:pPr>
    </w:p>
    <w:p>
      <w:pPr>
        <w:ind w:left="300" w:right="319"/>
        <w:spacing w:after="0" w:line="266" w:lineRule="auto"/>
        <w:rPr>
          <w:sz w:val="20"/>
          <w:szCs w:val="20"/>
          <w:color w:val="auto"/>
        </w:rPr>
      </w:pPr>
      <w:r>
        <w:rPr>
          <w:rFonts w:ascii="Arial" w:cs="Arial" w:eastAsia="Arial" w:hAnsi="Arial"/>
          <w:sz w:val="18"/>
          <w:szCs w:val="18"/>
          <w:b w:val="1"/>
          <w:bCs w:val="1"/>
          <w:color w:val="auto"/>
        </w:rPr>
        <w:t>The Audit Committee and the Board of Directors unanimously recommend a vote FOR the Ratification of the Appointment of Ernst &amp; Young LLP as our Independent Registered Public Accounting Firm for the fiscal year ending December 31,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Audit Committee has reviewed the audited consolidated financial statements of the Company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 and pursuant to applicable U.S. Securities and Exchange Commission (“SEC”) regulations.</w:t>
      </w:r>
    </w:p>
    <w:p>
      <w:pPr>
        <w:spacing w:after="0" w:line="58"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7"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2022.</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David Fisher (Chair)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Karolina H. Hilu, M.D.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Alexander E. Timm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21"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for each of the last two fiscal years for other services: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20"/>
                <w:szCs w:val="20"/>
                <w:color w:val="auto"/>
              </w:rPr>
            </w:pPr>
            <w:r>
              <w:rPr>
                <w:rFonts w:ascii="Arial" w:cs="Arial" w:eastAsia="Arial" w:hAnsi="Arial"/>
                <w:sz w:val="14"/>
                <w:szCs w:val="14"/>
                <w:b w:val="1"/>
                <w:bCs w:val="1"/>
                <w:color w:val="auto"/>
              </w:rPr>
              <w:t>Fee Category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2021</w:t>
            </w:r>
          </w:p>
        </w:tc>
      </w:tr>
      <w:tr>
        <w:trPr>
          <w:trHeight w:val="53"/>
        </w:trPr>
        <w:tc>
          <w:tcPr>
            <w:tcW w:w="62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88"/>
              </w:rPr>
              <w:t>$3,265,285</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$3,545,000</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Audit-Related Fees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30,550</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30,450</w:t>
            </w:r>
          </w:p>
        </w:tc>
      </w:tr>
      <w:tr>
        <w:trPr>
          <w:trHeight w:val="54"/>
        </w:trPr>
        <w:tc>
          <w:tcPr>
            <w:tcW w:w="6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501,899</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681,822</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8"/>
              </w:rPr>
              <w:t>$3,797,734</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$4,257,272</w:t>
            </w:r>
          </w:p>
        </w:tc>
      </w:tr>
      <w:tr>
        <w:trPr>
          <w:trHeight w:val="54"/>
        </w:trPr>
        <w:tc>
          <w:tcPr>
            <w:tcW w:w="6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-1045210</wp:posOffset>
            </wp:positionV>
            <wp:extent cx="154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-1045210</wp:posOffset>
            </wp:positionV>
            <wp:extent cx="171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Audit fees consist of all professional services rendered in connection with (a) the audit of our annual consolidated financial statements, (b) the reviews of our quarterly consolidated financial statements, and (c) consents and review of other documents filed with the SEC.</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Audit-related fees consist of internal control readiness (with respect to 2021) and professional services rendered in connection with the audit of our 401(k) retirement plan.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Tax fees consist of tax compliance preparation services.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other fees consist of services not captured in the audit or audit-related categories.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300" w:right="339"/>
        <w:spacing w:after="0" w:line="286" w:lineRule="auto"/>
        <w:rPr>
          <w:sz w:val="20"/>
          <w:szCs w:val="20"/>
          <w:color w:val="auto"/>
        </w:rPr>
      </w:pPr>
      <w:r>
        <w:rPr>
          <w:rFonts w:ascii="Arial" w:cs="Arial" w:eastAsia="Arial" w:hAnsi="Arial"/>
          <w:sz w:val="16"/>
          <w:szCs w:val="16"/>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w:t>
      </w:r>
    </w:p>
    <w:p>
      <w:pPr>
        <w:spacing w:after="0" w:line="1" w:lineRule="exact"/>
        <w:rPr>
          <w:sz w:val="20"/>
          <w:szCs w:val="20"/>
          <w:color w:val="auto"/>
        </w:rPr>
      </w:pPr>
    </w:p>
    <w:p>
      <w:pPr>
        <w:ind w:left="300" w:right="319" w:hanging="8"/>
        <w:spacing w:after="0" w:line="284" w:lineRule="auto"/>
        <w:tabs>
          <w:tab w:leader="none" w:pos="515"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399"/>
        <w:spacing w:after="0" w:line="282" w:lineRule="auto"/>
        <w:rPr>
          <w:sz w:val="20"/>
          <w:szCs w:val="20"/>
          <w:color w:val="auto"/>
        </w:rPr>
      </w:pPr>
      <w:r>
        <w:rPr>
          <w:rFonts w:ascii="Arial" w:cs="Arial" w:eastAsia="Arial" w:hAnsi="Arial"/>
          <w:sz w:val="18"/>
          <w:szCs w:val="18"/>
          <w:b w:val="1"/>
          <w:bCs w:val="1"/>
          <w:color w:val="auto"/>
        </w:rPr>
        <w:t>Proposal 3: Advisory Vote to Approve the Compensation of the Company’s Named Executive Officers (“Say-on-Pay Vote”)</w:t>
      </w:r>
    </w:p>
    <w:p>
      <w:pPr>
        <w:spacing w:after="0" w:line="58" w:lineRule="exact"/>
        <w:rPr>
          <w:sz w:val="20"/>
          <w:szCs w:val="20"/>
          <w:color w:val="auto"/>
        </w:rPr>
      </w:pPr>
    </w:p>
    <w:p>
      <w:pPr>
        <w:ind w:left="300" w:right="559"/>
        <w:spacing w:after="0" w:line="263" w:lineRule="auto"/>
        <w:rPr>
          <w:sz w:val="20"/>
          <w:szCs w:val="20"/>
          <w:color w:val="auto"/>
        </w:rPr>
      </w:pPr>
      <w:r>
        <w:rPr>
          <w:rFonts w:ascii="Arial" w:cs="Arial" w:eastAsia="Arial" w:hAnsi="Arial"/>
          <w:sz w:val="18"/>
          <w:szCs w:val="18"/>
          <w:color w:val="auto"/>
        </w:rPr>
        <w:t>Pursuant to Section 14A of the Securities Exchange Act of 1934, as amended, or the Exchange Act, we are providing our stockholders an opportunity to cast a non-binding, advisory vote to approve of the compensation of our NEOs as disclosed in this proxy statement.</w:t>
      </w:r>
    </w:p>
    <w:p>
      <w:pPr>
        <w:spacing w:after="0" w:line="76" w:lineRule="exact"/>
        <w:rPr>
          <w:sz w:val="20"/>
          <w:szCs w:val="20"/>
          <w:color w:val="auto"/>
        </w:rPr>
      </w:pPr>
    </w:p>
    <w:p>
      <w:pPr>
        <w:ind w:left="300" w:right="439"/>
        <w:spacing w:after="0" w:line="254" w:lineRule="auto"/>
        <w:rPr>
          <w:sz w:val="20"/>
          <w:szCs w:val="20"/>
          <w:color w:val="auto"/>
        </w:rPr>
      </w:pPr>
      <w:r>
        <w:rPr>
          <w:rFonts w:ascii="Arial" w:cs="Arial" w:eastAsia="Arial" w:hAnsi="Arial"/>
          <w:sz w:val="18"/>
          <w:szCs w:val="18"/>
          <w:color w:val="auto"/>
        </w:rPr>
        <w:t>As described in detail under the heading “Executive Compensation” in this proxy statement, our executive compensation programs are designed to align compensation to business strategy and outcomes that deliver value to stockholders; reward high-performing individuals; and assure compensation is competitive in the relevant employment marketplace to support the attraction, motivation and retention of executive talent. Please read the compensation tables and the related narrative disclosure contained in this proxy statement for additional details about our executive compensation programs, including information about the fiscal year 2022 compensation of our NEOs.</w:t>
      </w:r>
    </w:p>
    <w:p>
      <w:pPr>
        <w:spacing w:after="0" w:line="87" w:lineRule="exact"/>
        <w:rPr>
          <w:sz w:val="20"/>
          <w:szCs w:val="20"/>
          <w:color w:val="auto"/>
        </w:rPr>
      </w:pPr>
    </w:p>
    <w:p>
      <w:pPr>
        <w:ind w:left="300" w:right="539"/>
        <w:spacing w:after="0" w:line="255" w:lineRule="auto"/>
        <w:rPr>
          <w:sz w:val="20"/>
          <w:szCs w:val="20"/>
          <w:color w:val="auto"/>
        </w:rPr>
      </w:pPr>
      <w:r>
        <w:rPr>
          <w:rFonts w:ascii="Arial" w:cs="Arial" w:eastAsia="Arial" w:hAnsi="Arial"/>
          <w:sz w:val="18"/>
          <w:szCs w:val="18"/>
          <w:color w:val="auto"/>
        </w:rPr>
        <w:t>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type of compensation, but rather the overall compensation of our NEOs and policies and practices described in this proxy statement. Accordingly, our Board of Directors recommends that our stockholders vote “FOR” the following resolution:</w:t>
      </w:r>
    </w:p>
    <w:p>
      <w:pPr>
        <w:spacing w:after="0" w:line="84" w:lineRule="exact"/>
        <w:rPr>
          <w:sz w:val="20"/>
          <w:szCs w:val="20"/>
          <w:color w:val="auto"/>
        </w:rPr>
      </w:pPr>
    </w:p>
    <w:p>
      <w:pPr>
        <w:ind w:left="660" w:right="379"/>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tables and narrative discussion that accompanies the compensation tables, is hereby APPROVED.”</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Advisory Vote</w:t>
      </w:r>
    </w:p>
    <w:p>
      <w:pPr>
        <w:spacing w:after="0" w:line="12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of Directors. However, we value stockholders’ opinions, and we will consider the outcome of the Say-on-Pay Vote when determining future executive compensation programs.</w:t>
      </w:r>
    </w:p>
    <w:p>
      <w:pPr>
        <w:spacing w:after="0" w:line="72" w:lineRule="exact"/>
        <w:rPr>
          <w:sz w:val="20"/>
          <w:szCs w:val="20"/>
          <w:color w:val="auto"/>
        </w:rPr>
      </w:pPr>
    </w:p>
    <w:p>
      <w:pPr>
        <w:ind w:left="300" w:right="59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on an advisory basis, of the compensation of our NEOs.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right"/>
        <w:ind w:right="3539"/>
        <w:spacing w:after="0"/>
        <w:rPr>
          <w:sz w:val="20"/>
          <w:szCs w:val="20"/>
          <w:color w:val="auto"/>
        </w:rPr>
      </w:pPr>
      <w:r>
        <w:rPr>
          <w:rFonts w:ascii="Arial" w:cs="Arial" w:eastAsia="Arial" w:hAnsi="Arial"/>
          <w:sz w:val="16"/>
          <w:szCs w:val="16"/>
          <w:color w:val="auto"/>
        </w:rPr>
        <w:t>The following table identifies our executive officers as of April 1, 2023:</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820" w:type="dxa"/>
            <w:vAlign w:val="bottom"/>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1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r>
      <w:tr>
        <w:trPr>
          <w:trHeight w:val="331"/>
        </w:trPr>
        <w:tc>
          <w:tcPr>
            <w:tcW w:w="206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Vijay Kotte</w:t>
            </w:r>
            <w:r>
              <w:rPr>
                <w:rFonts w:ascii="Arial" w:cs="Arial" w:eastAsia="Arial" w:hAnsi="Arial"/>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5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r>
      <w:tr>
        <w:trPr>
          <w:trHeight w:val="324"/>
        </w:trPr>
        <w:tc>
          <w:tcPr>
            <w:tcW w:w="2060" w:type="dxa"/>
            <w:vAlign w:val="bottom"/>
            <w:gridSpan w:val="2"/>
          </w:tcPr>
          <w:p>
            <w:pPr>
              <w:spacing w:after="0" w:line="324" w:lineRule="exact"/>
              <w:rPr>
                <w:sz w:val="20"/>
                <w:szCs w:val="20"/>
                <w:color w:val="auto"/>
              </w:rPr>
            </w:pPr>
            <w:r>
              <w:rPr>
                <w:rFonts w:ascii="Arial" w:cs="Arial" w:eastAsia="Arial" w:hAnsi="Arial"/>
                <w:sz w:val="18"/>
                <w:szCs w:val="18"/>
                <w:color w:val="auto"/>
              </w:rPr>
              <w:t>Jason Schulz</w:t>
            </w:r>
            <w:r>
              <w:rPr>
                <w:rFonts w:ascii="Arial" w:cs="Arial" w:eastAsia="Arial" w:hAnsi="Arial"/>
                <w:sz w:val="29"/>
                <w:szCs w:val="29"/>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324"/>
        </w:trPr>
        <w:tc>
          <w:tcPr>
            <w:tcW w:w="20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Shane E. Cruz</w:t>
            </w:r>
            <w:r>
              <w:rPr>
                <w:rFonts w:ascii="Arial" w:cs="Arial" w:eastAsia="Arial" w:hAnsi="Arial"/>
                <w:sz w:val="29"/>
                <w:szCs w:val="29"/>
                <w:color w:val="auto"/>
                <w:vertAlign w:val="superscript"/>
              </w:rPr>
              <w:t>(3)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5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Strategy Officer</w:t>
            </w:r>
          </w:p>
        </w:tc>
      </w:tr>
      <w:tr>
        <w:trPr>
          <w:trHeight w:val="420"/>
        </w:trPr>
        <w:tc>
          <w:tcPr>
            <w:tcW w:w="2060" w:type="dxa"/>
            <w:vAlign w:val="bottom"/>
            <w:gridSpan w:val="2"/>
          </w:tcPr>
          <w:p>
            <w:pPr>
              <w:spacing w:after="0"/>
              <w:rPr>
                <w:sz w:val="20"/>
                <w:szCs w:val="20"/>
                <w:color w:val="auto"/>
              </w:rPr>
            </w:pPr>
            <w:r>
              <w:rPr>
                <w:rFonts w:ascii="Arial" w:cs="Arial" w:eastAsia="Arial" w:hAnsi="Arial"/>
                <w:sz w:val="18"/>
                <w:szCs w:val="18"/>
                <w:color w:val="auto"/>
              </w:rPr>
              <w:t>Brian Farley</w:t>
            </w:r>
            <w:r>
              <w:rPr>
                <w:rFonts w:ascii="Arial" w:cs="Arial" w:eastAsia="Arial" w:hAnsi="Arial"/>
                <w:sz w:val="29"/>
                <w:szCs w:val="29"/>
                <w:color w:val="auto"/>
                <w:vertAlign w:val="superscript"/>
              </w:rPr>
              <w:t>(4)</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-900430</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-900430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hanging="34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See biography on page </w:t>
      </w:r>
      <w:r>
        <w:rPr>
          <w:rFonts w:ascii="Arial" w:cs="Arial" w:eastAsia="Arial" w:hAnsi="Arial"/>
          <w:sz w:val="14"/>
          <w:szCs w:val="14"/>
          <w:u w:val="single" w:color="auto"/>
          <w:color w:val="0000EE"/>
        </w:rPr>
        <w:t>5</w:t>
      </w:r>
      <w:r>
        <w:rPr>
          <w:rFonts w:ascii="Arial" w:cs="Arial" w:eastAsia="Arial" w:hAnsi="Arial"/>
          <w:sz w:val="14"/>
          <w:szCs w:val="14"/>
          <w:color w:val="auto"/>
        </w:rPr>
        <w:t xml:space="preserve"> of this proxy statement.</w:t>
      </w:r>
    </w:p>
    <w:p>
      <w:pPr>
        <w:spacing w:after="0" w:line="41" w:lineRule="exact"/>
        <w:rPr>
          <w:rFonts w:ascii="Arial" w:cs="Arial" w:eastAsia="Arial" w:hAnsi="Arial"/>
          <w:sz w:val="14"/>
          <w:szCs w:val="14"/>
          <w:color w:val="auto"/>
        </w:rPr>
      </w:pPr>
    </w:p>
    <w:p>
      <w:pPr>
        <w:ind w:left="640" w:right="359" w:hanging="348"/>
        <w:spacing w:after="0" w:line="247" w:lineRule="auto"/>
        <w:tabs>
          <w:tab w:leader="none" w:pos="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Jason Schulz has served as GoHealth’s Chief Financial Officer since 2022 and, prior to that, served as President, Pacific Northwest Region at OptumCare, a health services and innovation company, from September 2019 to September 2021. Mr. Schulz also was the Chief Financial Officer of DaVita Medical Group, one of the nation’s leading independent medical groups that operates medical clinics providing primary and specialist care, from February 2016 to December 2019, prior to its divestiture to OptumCare in 2019. He has also held Chief Financial Officer roles at NextMED, a healthcare service model company, from July 2013 to February 2015, and Mercy Health Plan a multi-state health care system, from October 2009 to June 2013. Mr. Schulz holds a Bachelor’s degree in Business Administration from the University of Northern Colorado, has a MBA from Washington University of St. Louis, and is a Certified Management Accountant.</w:t>
      </w:r>
    </w:p>
    <w:p>
      <w:pPr>
        <w:spacing w:after="0" w:line="16" w:lineRule="exact"/>
        <w:rPr>
          <w:rFonts w:ascii="Arial" w:cs="Arial" w:eastAsia="Arial" w:hAnsi="Arial"/>
          <w:sz w:val="13"/>
          <w:szCs w:val="13"/>
          <w:color w:val="auto"/>
        </w:rPr>
      </w:pPr>
    </w:p>
    <w:p>
      <w:pPr>
        <w:ind w:left="640" w:right="379" w:hanging="348"/>
        <w:spacing w:after="0" w:line="264" w:lineRule="auto"/>
        <w:tabs>
          <w:tab w:leader="none" w:pos="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Shane E. Cruz has served as GoHealth’s Chief Strategy Officer since 2022 and, prior to that, Chief Operating Officer since 2020 and Chief Technology Officer of GoHealth since 2014. Mr. Cruz holds Bachelor of Science degrees in Computer Science and Engineering and a Master of Engineering in Electrical Engineering and Computer Science from the Massachusetts Institute of Technology.</w:t>
      </w:r>
    </w:p>
    <w:p>
      <w:pPr>
        <w:spacing w:after="0" w:line="6" w:lineRule="exact"/>
        <w:rPr>
          <w:rFonts w:ascii="Arial" w:cs="Arial" w:eastAsia="Arial" w:hAnsi="Arial"/>
          <w:sz w:val="13"/>
          <w:szCs w:val="13"/>
          <w:color w:val="auto"/>
        </w:rPr>
      </w:pPr>
    </w:p>
    <w:p>
      <w:pPr>
        <w:ind w:left="640" w:right="299" w:hanging="348"/>
        <w:spacing w:after="0" w:line="231" w:lineRule="auto"/>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Brian Farley has served as GoHealth’s Chief Legal Officer and Corporate Secretary since 2020. Previously, Mr. Farley served in various roles at Veradigm Inc. (formerly known as Allscripts Healthcare Solutions, Inc.), a healthcare technology company, including most recently as Executive Vice President, General Counsel and Chief Administrative Officer from 2013 to 2020. Mr. Farley holds a Bachelor of Arts in Political Economics from Colorado College, a Juris Doctor from The George Washington University National Law Center and an Executive Master’s in Business Administration from the University of Colorado.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in our investor relations section of our corporate website located at </w:t>
      </w:r>
      <w:r>
        <w:rPr>
          <w:rFonts w:ascii="Arial" w:cs="Arial" w:eastAsia="Arial" w:hAnsi="Arial"/>
          <w:sz w:val="16"/>
          <w:szCs w:val="16"/>
          <w:i w:val="1"/>
          <w:iCs w:val="1"/>
          <w:color w:val="auto"/>
        </w:rPr>
        <w:t>investors.gohealth.com</w:t>
      </w:r>
      <w:r>
        <w:rPr>
          <w:rFonts w:ascii="Arial" w:cs="Arial" w:eastAsia="Arial" w:hAnsi="Arial"/>
          <w:sz w:val="16"/>
          <w:szCs w:val="16"/>
          <w:color w:val="auto"/>
        </w:rPr>
        <w:t>, or by writing to our Corporate Secretary at our offices at 214 West Huron St., Chicago, Illinois 60654.</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Our Board of Directors currently consists of nine members: Brandon M. Cruz, Joseph G. Flanagan, David Fisher, Jeremy W. Gelber, Karolina H. Hilu, Clinton P. Jones, Christopher Litchford, Vijay Kotte, and Alexander E. Timm.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Diversity</w:t>
      </w:r>
    </w:p>
    <w:p>
      <w:pPr>
        <w:spacing w:after="0" w:line="121"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The Board recognizes the value of diversity and appreciates that a diverse Board results in a more effective decision-making process. In evaluating candidates for the Board, the Board and the Nominating and Corporate Governance Committee look for many factors that can help to create a diverse group of individuals, including professional experience, skills, background, education, geography and gender, race and ethnicity.</w:t>
      </w:r>
    </w:p>
    <w:p>
      <w:pPr>
        <w:spacing w:after="0" w:line="63" w:lineRule="exact"/>
        <w:rPr>
          <w:sz w:val="20"/>
          <w:szCs w:val="20"/>
          <w:color w:val="auto"/>
        </w:rPr>
      </w:pPr>
    </w:p>
    <w:p>
      <w:pPr>
        <w:ind w:left="300" w:right="659"/>
        <w:spacing w:after="0" w:line="308" w:lineRule="auto"/>
        <w:rPr>
          <w:sz w:val="20"/>
          <w:szCs w:val="20"/>
          <w:color w:val="auto"/>
        </w:rPr>
      </w:pPr>
      <w:r>
        <w:rPr>
          <w:rFonts w:ascii="Arial" w:cs="Arial" w:eastAsia="Arial" w:hAnsi="Arial"/>
          <w:sz w:val="17"/>
          <w:szCs w:val="17"/>
          <w:color w:val="auto"/>
        </w:rPr>
        <w:t>The following table provides information regarding our directors’ diversity. The diversity information presented below is based upon voluntary self-identification responses we received from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5349240" cy="2254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Board Diversity Matrix as of April 11, 2023</w:t>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Number of Directors</w:t>
            </w:r>
          </w:p>
        </w:tc>
        <w:tc>
          <w:tcPr>
            <w:tcW w:w="9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jc w:val="right"/>
              <w:ind w:right="954"/>
              <w:spacing w:after="0"/>
              <w:rPr>
                <w:sz w:val="20"/>
                <w:szCs w:val="20"/>
                <w:color w:val="auto"/>
              </w:rPr>
            </w:pPr>
            <w:r>
              <w:rPr>
                <w:rFonts w:ascii="Arial" w:cs="Arial" w:eastAsia="Arial" w:hAnsi="Arial"/>
                <w:sz w:val="18"/>
                <w:szCs w:val="18"/>
                <w:color w:val="auto"/>
              </w:rPr>
              <w:t>9</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5"/>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Part I: Gender Identity</w:t>
            </w:r>
          </w:p>
        </w:tc>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Female</w:t>
            </w:r>
          </w:p>
        </w:tc>
        <w:tc>
          <w:tcPr>
            <w:tcW w:w="220" w:type="dxa"/>
            <w:vAlign w:val="bottom"/>
            <w:tcBorders>
              <w:right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Male</w:t>
            </w:r>
          </w:p>
        </w:tc>
      </w:tr>
      <w:tr>
        <w:trPr>
          <w:trHeight w:val="53"/>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900" w:type="dxa"/>
            <w:vAlign w:val="bottom"/>
          </w:tcPr>
          <w:p>
            <w:pPr>
              <w:jc w:val="center"/>
              <w:ind w:left="94"/>
              <w:spacing w:after="0"/>
              <w:rPr>
                <w:sz w:val="20"/>
                <w:szCs w:val="20"/>
                <w:color w:val="auto"/>
              </w:rPr>
            </w:pPr>
            <w:r>
              <w:rPr>
                <w:rFonts w:ascii="Arial" w:cs="Arial" w:eastAsia="Arial" w:hAnsi="Arial"/>
                <w:sz w:val="18"/>
                <w:szCs w:val="18"/>
                <w:color w:val="auto"/>
                <w:w w:val="79"/>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5"/>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Part II: Demographic Background</w:t>
            </w:r>
          </w:p>
        </w:tc>
        <w:tc>
          <w:tcPr>
            <w:tcW w:w="9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120"/>
        </w:trPr>
        <w:tc>
          <w:tcPr>
            <w:tcW w:w="624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Asian</w:t>
            </w:r>
          </w:p>
        </w:tc>
        <w:tc>
          <w:tcPr>
            <w:tcW w:w="900" w:type="dxa"/>
            <w:vAlign w:val="bottom"/>
          </w:tcPr>
          <w:p>
            <w:pPr>
              <w:jc w:val="center"/>
              <w:ind w:left="114"/>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Hispanic or Latinx</w:t>
            </w:r>
          </w:p>
        </w:tc>
        <w:tc>
          <w:tcPr>
            <w:tcW w:w="900" w:type="dxa"/>
            <w:vAlign w:val="bottom"/>
          </w:tcPr>
          <w:p>
            <w:pPr>
              <w:jc w:val="center"/>
              <w:ind w:left="114"/>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White</w:t>
            </w:r>
          </w:p>
        </w:tc>
        <w:tc>
          <w:tcPr>
            <w:tcW w:w="900" w:type="dxa"/>
            <w:vAlign w:val="bottom"/>
          </w:tcPr>
          <w:p>
            <w:pPr>
              <w:jc w:val="center"/>
              <w:ind w:left="94"/>
              <w:spacing w:after="0"/>
              <w:rPr>
                <w:sz w:val="20"/>
                <w:szCs w:val="20"/>
                <w:color w:val="auto"/>
              </w:rPr>
            </w:pPr>
            <w:r>
              <w:rPr>
                <w:rFonts w:ascii="Arial" w:cs="Arial" w:eastAsia="Arial" w:hAnsi="Arial"/>
                <w:sz w:val="18"/>
                <w:szCs w:val="18"/>
                <w:color w:val="auto"/>
                <w:w w:val="79"/>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LGBTQ+</w:t>
            </w:r>
          </w:p>
        </w:tc>
        <w:tc>
          <w:tcPr>
            <w:tcW w:w="900" w:type="dxa"/>
            <w:vAlign w:val="bottom"/>
          </w:tcPr>
          <w:p>
            <w:pPr>
              <w:spacing w:after="0"/>
              <w:rPr>
                <w:sz w:val="24"/>
                <w:szCs w:val="24"/>
                <w:color w:val="auto"/>
              </w:rPr>
            </w:pPr>
          </w:p>
        </w:tc>
        <w:tc>
          <w:tcPr>
            <w:tcW w:w="1280" w:type="dxa"/>
            <w:vAlign w:val="bottom"/>
            <w:gridSpan w:val="2"/>
          </w:tcPr>
          <w:p>
            <w:pPr>
              <w:jc w:val="right"/>
              <w:ind w:right="954"/>
              <w:spacing w:after="0"/>
              <w:rPr>
                <w:sz w:val="20"/>
                <w:szCs w:val="20"/>
                <w:color w:val="auto"/>
              </w:rPr>
            </w:pPr>
            <w:r>
              <w:rPr>
                <w:rFonts w:ascii="Arial" w:cs="Arial" w:eastAsia="Arial" w:hAnsi="Arial"/>
                <w:sz w:val="18"/>
                <w:szCs w:val="18"/>
                <w:color w:val="auto"/>
              </w:rPr>
              <w:t>1</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Did not disclose race/ethnicity</w:t>
            </w:r>
          </w:p>
        </w:tc>
        <w:tc>
          <w:tcPr>
            <w:tcW w:w="900" w:type="dxa"/>
            <w:vAlign w:val="bottom"/>
          </w:tcPr>
          <w:p>
            <w:pPr>
              <w:spacing w:after="0"/>
              <w:rPr>
                <w:sz w:val="24"/>
                <w:szCs w:val="24"/>
                <w:color w:val="auto"/>
              </w:rPr>
            </w:pPr>
          </w:p>
        </w:tc>
        <w:tc>
          <w:tcPr>
            <w:tcW w:w="1280" w:type="dxa"/>
            <w:vAlign w:val="bottom"/>
            <w:gridSpan w:val="2"/>
          </w:tcPr>
          <w:p>
            <w:pPr>
              <w:jc w:val="right"/>
              <w:ind w:right="954"/>
              <w:spacing w:after="0"/>
              <w:rPr>
                <w:sz w:val="20"/>
                <w:szCs w:val="20"/>
                <w:color w:val="auto"/>
              </w:rPr>
            </w:pPr>
            <w:r>
              <w:rPr>
                <w:rFonts w:ascii="Arial" w:cs="Arial" w:eastAsia="Arial" w:hAnsi="Arial"/>
                <w:sz w:val="18"/>
                <w:szCs w:val="18"/>
                <w:color w:val="auto"/>
              </w:rPr>
              <w:t>1</w:t>
            </w:r>
          </w:p>
        </w:tc>
      </w:tr>
      <w:tr>
        <w:trPr>
          <w:trHeight w:val="54"/>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639"/>
        <w:spacing w:after="0" w:line="286" w:lineRule="auto"/>
        <w:rPr>
          <w:sz w:val="20"/>
          <w:szCs w:val="20"/>
          <w:color w:val="auto"/>
        </w:rPr>
      </w:pPr>
      <w:r>
        <w:rPr>
          <w:rFonts w:ascii="Arial" w:cs="Arial" w:eastAsia="Arial" w:hAnsi="Arial"/>
          <w:sz w:val="17"/>
          <w:szCs w:val="17"/>
          <w:color w:val="auto"/>
        </w:rPr>
        <w:t>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57"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color w:val="auto"/>
        </w:rPr>
        <w:t>Pursuant to the Stockholders Agreement, Centerbridge has the right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 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277" w:lineRule="exact"/>
        <w:rPr>
          <w:sz w:val="20"/>
          <w:szCs w:val="20"/>
          <w:color w:val="auto"/>
        </w:rPr>
      </w:pPr>
    </w:p>
    <w:p>
      <w:pPr>
        <w:ind w:left="300" w:right="339"/>
        <w:spacing w:after="0" w:line="284" w:lineRule="auto"/>
        <w:rPr>
          <w:sz w:val="20"/>
          <w:szCs w:val="20"/>
          <w:color w:val="auto"/>
        </w:rPr>
      </w:pPr>
      <w:r>
        <w:rPr>
          <w:rFonts w:ascii="Arial" w:cs="Arial" w:eastAsia="Arial" w:hAnsi="Arial"/>
          <w:sz w:val="16"/>
          <w:szCs w:val="16"/>
          <w:color w:val="auto"/>
        </w:rPr>
        <w:t>Pursuant to the Stockholders Agreement,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 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 Exemptions</w:t>
      </w:r>
    </w:p>
    <w:p>
      <w:pPr>
        <w:spacing w:after="0" w:line="121"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NVX Holdings, Inc., a Delaware corporation, and Centerbridge Capital Partners III, L.P.,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Market, or “Nasdaq” and have elected not to comply with certain corporate governance standards, including that: (1) we have a Nominating and Corporate Governance Committee that is composed entirely of independent directors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and (2) we have 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If we cease to be a “controlled company” and our shares continue to be listed on Nasdaq, we will be required to comply with these provisions within the applicable transition periods.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Joseph Flanagan, David Fisher, Jeremy Gelber, Karolina Hilu, Christopher Litchford and Alexander Timm each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Gelber and Mr. Litchford are affiliated with certain of our significant stockholders. Clinton Jones and Brandon Cruz are not independent as both were employed by the Company in the last 3 years. Brandon Cruz, our Co-Chairman of the Board is the brother of Shane Cruz, our Chief Strategy Officer. Otherwise, there are no family relationships among any of our executive officers or directors. In addition, Dr. Gayle and Ms. Tawil, both of whom served on the Board during 2022, were deemed independent.</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Candidates</w:t>
      </w:r>
    </w:p>
    <w:p>
      <w:pPr>
        <w:spacing w:after="0" w:line="12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 the Stockholders Agreement, the directors designated for election to the applicable classes of the Board are</w:t>
      </w:r>
    </w:p>
    <w:p>
      <w:pPr>
        <w:spacing w:after="0" w:line="46" w:lineRule="exact"/>
        <w:rPr>
          <w:sz w:val="20"/>
          <w:szCs w:val="20"/>
          <w:color w:val="auto"/>
        </w:rPr>
      </w:pPr>
    </w:p>
    <w:p>
      <w:pPr>
        <w:ind w:left="300" w:right="379" w:hanging="8"/>
        <w:spacing w:after="0" w:line="260" w:lineRule="auto"/>
        <w:tabs>
          <w:tab w:leader="none" w:pos="5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Gelber, Mr. Litchford, Mr. Flanagan and Mr. Timm by Centerbridge, and (ii) Mr. Cruz, Mr. Jones, Mr. Fisher and Dr. Hilu by NVX Holdings.</w:t>
      </w:r>
    </w:p>
    <w:p>
      <w:pPr>
        <w:spacing w:after="0" w:line="77"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214 West Huron St.,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from Stockholders</w:t>
      </w:r>
    </w:p>
    <w:p>
      <w:pPr>
        <w:spacing w:after="0" w:line="121" w:lineRule="exact"/>
        <w:rPr>
          <w:sz w:val="20"/>
          <w:szCs w:val="20"/>
          <w:color w:val="auto"/>
        </w:rPr>
      </w:pPr>
    </w:p>
    <w:p>
      <w:pPr>
        <w:ind w:left="300" w:right="299"/>
        <w:spacing w:after="0" w:line="286" w:lineRule="auto"/>
        <w:rPr>
          <w:sz w:val="20"/>
          <w:szCs w:val="20"/>
          <w:color w:val="auto"/>
        </w:rPr>
      </w:pPr>
      <w:r>
        <w:rPr>
          <w:rFonts w:ascii="Arial" w:cs="Arial" w:eastAsia="Arial" w:hAnsi="Arial"/>
          <w:sz w:val="17"/>
          <w:szCs w:val="17"/>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57"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Communications are forwarded to all directors if they relate to important substantive matters and include suggestions or comments that our Corporate Secretary and Co-Chairmen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214 West Huron St., Chicago, Illinois 60654.</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Currently, the roles are separate, with Clinton Jones and Brandon Cruz serving as Co-Chairmen of the Board and Vijay Kotte serving as Chief Executive Officer. The current separation allows Mr. Kotte to focus his time and energy on operating and managing the Company and allows him to leverage the valuable experience of Mr. Jones and Mr. Cruz and their perspectives as Co-Chairman.</w:t>
      </w:r>
    </w:p>
    <w:p>
      <w:pPr>
        <w:spacing w:after="0" w:line="69"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However, our Board of Directors will continue to periodically review our leadership structure and may make such changes in the future as it deems appropriate. Our Corporate Governance Guidelines provide that whenever our Chairperson or Co-Chairman of the Board is also a member of management or is a director that does not otherwise qualify as an independent director, the independent directors may elect a lead director whose responsibilities include presiding over all meetings of the Board at which the Chairperson or Co-Chairman is not present, including any executive sessions of the independent directors; approving meeting schedules and agendas; and acting as the liaison between the independent directors and the Chairperson or Co-Chairman of the Board, as appropriate. The full list of responsibilities of our lead director may be found in our Corporate Governance Guidelines. Currently, because our Co-Chairmen of the Board are not independent, the independent directors have elected Joseph Flanagan as our lead director.</w:t>
      </w:r>
    </w:p>
    <w:p>
      <w:pPr>
        <w:spacing w:after="0" w:line="77"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and cybersecurity risk exposures and the steps our management has taken to monitor and control these exposures. The Audit Committee also monitors compliance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99"/>
        <w:spacing w:after="0" w:line="257" w:lineRule="auto"/>
        <w:rPr>
          <w:sz w:val="20"/>
          <w:szCs w:val="20"/>
          <w:color w:val="auto"/>
        </w:rPr>
      </w:pPr>
      <w:r>
        <w:rPr>
          <w:rFonts w:ascii="Arial" w:cs="Arial" w:eastAsia="Arial" w:hAnsi="Arial"/>
          <w:sz w:val="18"/>
          <w:szCs w:val="18"/>
          <w:color w:val="auto"/>
        </w:rPr>
        <w:t>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80" w:lineRule="exact"/>
        <w:rPr>
          <w:sz w:val="20"/>
          <w:szCs w:val="20"/>
          <w:color w:val="auto"/>
        </w:rPr>
      </w:pPr>
    </w:p>
    <w:p>
      <w:pPr>
        <w:jc w:val="both"/>
        <w:ind w:left="300" w:right="439"/>
        <w:spacing w:after="0" w:line="301" w:lineRule="auto"/>
        <w:rPr>
          <w:sz w:val="20"/>
          <w:szCs w:val="20"/>
          <w:color w:val="auto"/>
        </w:rPr>
      </w:pPr>
      <w:r>
        <w:rPr>
          <w:rFonts w:ascii="Arial" w:cs="Arial" w:eastAsia="Arial" w:hAnsi="Arial"/>
          <w:sz w:val="16"/>
          <w:szCs w:val="16"/>
          <w:color w:val="auto"/>
        </w:rPr>
        <w:t>Both the Audit Committee and the Nominating and Corporate Governance Committee provide oversight of certain risks associated with environmental and social matters. The Audit Committee provides oversight of the Company’s compliance and corporate environmental, health and safety functions. The Nominating and Corporate Governance Committee oversees the Company’s corporate social responsibility efforts and progress.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Arial" w:cs="Arial" w:eastAsia="Arial" w:hAnsi="Arial"/>
          <w:sz w:val="16"/>
          <w:szCs w:val="16"/>
          <w:i w:val="1"/>
          <w:iCs w:val="1"/>
          <w:color w:val="auto"/>
        </w:rPr>
        <w:t>investors.gohealth.com</w:t>
      </w:r>
      <w:r>
        <w:rPr>
          <w:rFonts w:ascii="Arial" w:cs="Arial" w:eastAsia="Arial" w:hAnsi="Arial"/>
          <w:sz w:val="16"/>
          <w:szCs w:val="16"/>
          <w:color w:val="auto"/>
        </w:rPr>
        <w:t>, in the “Governance” section under “Documents &amp; Charters.” In addition, we intend to post on our website all disclosures that are required by law or the rules of Nasdaq concerning any amendments to, or waivers from, any provision of the Code of Business Conduct and Ethics.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121" w:lineRule="exact"/>
        <w:rPr>
          <w:sz w:val="20"/>
          <w:szCs w:val="20"/>
          <w:color w:val="auto"/>
        </w:rPr>
      </w:pPr>
    </w:p>
    <w:p>
      <w:pPr>
        <w:ind w:left="300" w:right="539"/>
        <w:spacing w:after="0" w:line="311" w:lineRule="auto"/>
        <w:rPr>
          <w:sz w:val="20"/>
          <w:szCs w:val="20"/>
          <w:color w:val="auto"/>
        </w:rPr>
      </w:pPr>
      <w:r>
        <w:rPr>
          <w:rFonts w:ascii="Arial" w:cs="Arial" w:eastAsia="Arial" w:hAnsi="Arial"/>
          <w:sz w:val="16"/>
          <w:szCs w:val="16"/>
          <w:color w:val="auto"/>
        </w:rPr>
        <w:t>There were ten meetings of the Board of Directors during the fiscal year ended December 31, 2022. Each director attended at least 75% of the aggregate of (i) all meetings of the Board of Directors and (ii) all meetings of the committees on which the director served during the period in which he or she served as a director.</w:t>
      </w:r>
    </w:p>
    <w:p>
      <w:pPr>
        <w:spacing w:after="0" w:line="41" w:lineRule="exact"/>
        <w:rPr>
          <w:sz w:val="20"/>
          <w:szCs w:val="20"/>
          <w:color w:val="auto"/>
        </w:rPr>
      </w:pPr>
    </w:p>
    <w:p>
      <w:pPr>
        <w:ind w:left="300" w:right="319"/>
        <w:spacing w:after="0" w:line="288" w:lineRule="auto"/>
        <w:rPr>
          <w:sz w:val="20"/>
          <w:szCs w:val="20"/>
          <w:color w:val="auto"/>
        </w:rPr>
      </w:pPr>
      <w:r>
        <w:rPr>
          <w:rFonts w:ascii="Arial" w:cs="Arial" w:eastAsia="Arial" w:hAnsi="Arial"/>
          <w:sz w:val="16"/>
          <w:szCs w:val="16"/>
          <w:color w:val="auto"/>
        </w:rPr>
        <w:t xml:space="preserve">Under our Corporate Governance Guidelines, which is available on our investor relations website at </w:t>
      </w:r>
      <w:r>
        <w:rPr>
          <w:rFonts w:ascii="Arial" w:cs="Arial" w:eastAsia="Arial" w:hAnsi="Arial"/>
          <w:sz w:val="16"/>
          <w:szCs w:val="16"/>
          <w:i w:val="1"/>
          <w:iCs w:val="1"/>
          <w:color w:val="auto"/>
        </w:rPr>
        <w:t>investors.gohealth.com</w:t>
      </w:r>
      <w:r>
        <w:rPr>
          <w:rFonts w:ascii="Arial" w:cs="Arial" w:eastAsia="Arial" w:hAnsi="Arial"/>
          <w:sz w:val="16"/>
          <w:szCs w:val="16"/>
          <w:color w:val="auto"/>
        </w:rPr>
        <w:t>, a director is expected to spend the time and effort necessary to properly discharge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Co-Chairs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 All then-serving directors attended the 2022 Annual Meeting of Stockholders.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599"/>
        <w:spacing w:after="0" w:line="286" w:lineRule="auto"/>
        <w:rPr>
          <w:sz w:val="20"/>
          <w:szCs w:val="20"/>
          <w:color w:val="auto"/>
        </w:rPr>
      </w:pPr>
      <w:r>
        <w:rPr>
          <w:rFonts w:ascii="Arial" w:cs="Arial" w:eastAsia="Arial" w:hAnsi="Arial"/>
          <w:sz w:val="17"/>
          <w:szCs w:val="17"/>
          <w:color w:val="auto"/>
        </w:rPr>
        <w:t xml:space="preserve">Our Board has established three standing committees—Audit, Compensation and Nominating and Corporate Governance—each of which operates under a written charter that has been approved by our Board and each such charter is available on our investor relations website, </w:t>
      </w:r>
      <w:r>
        <w:rPr>
          <w:rFonts w:ascii="Arial" w:cs="Arial" w:eastAsia="Arial" w:hAnsi="Arial"/>
          <w:sz w:val="17"/>
          <w:szCs w:val="17"/>
          <w:i w:val="1"/>
          <w:iCs w:val="1"/>
          <w:color w:val="auto"/>
        </w:rPr>
        <w:t>investors.gohealth.com</w:t>
      </w:r>
      <w:r>
        <w:rPr>
          <w:rFonts w:ascii="Arial" w:cs="Arial" w:eastAsia="Arial" w:hAnsi="Arial"/>
          <w:sz w:val="17"/>
          <w:szCs w:val="17"/>
          <w:color w:val="auto"/>
        </w:rPr>
        <w:t>.</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members of each of the Board committees and committee Chairpersons are set forth in the following chart.</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Audit</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86"/>
        </w:trPr>
        <w:tc>
          <w:tcPr>
            <w:tcW w:w="4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53"/>
        </w:trPr>
        <w:tc>
          <w:tcPr>
            <w:tcW w:w="4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Brandon M. Cruz</w:t>
            </w:r>
          </w:p>
        </w:tc>
        <w:tc>
          <w:tcPr>
            <w:tcW w:w="9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Chairperson</w:t>
            </w: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Chairperson</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Fisher</w:t>
            </w:r>
          </w:p>
        </w:tc>
        <w:tc>
          <w:tcPr>
            <w:tcW w:w="1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Chairperson</w:t>
            </w: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Karolina H. Hilu, M.D</w:t>
            </w:r>
          </w:p>
        </w:tc>
        <w:tc>
          <w:tcPr>
            <w:tcW w:w="1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1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Audit Committee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00" w:type="dxa"/>
            <w:vAlign w:val="bottom"/>
            <w:gridSpan w:val="2"/>
          </w:tcPr>
          <w:p>
            <w:pPr>
              <w:spacing w:after="0"/>
              <w:rPr>
                <w:sz w:val="20"/>
                <w:szCs w:val="20"/>
                <w:color w:val="auto"/>
              </w:rPr>
            </w:pPr>
            <w:r>
              <w:rPr>
                <w:rFonts w:ascii="Arial" w:cs="Arial" w:eastAsia="Arial" w:hAnsi="Arial"/>
                <w:sz w:val="18"/>
                <w:szCs w:val="18"/>
                <w:color w:val="auto"/>
              </w:rPr>
              <w:t>Our Audit Committee’s responsibilities include: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-2030730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-2030730</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-2030730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ind w:left="1000" w:right="4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their independence from management;</w:t>
      </w:r>
    </w:p>
    <w:p>
      <w:pPr>
        <w:spacing w:after="0" w:line="140" w:lineRule="exact"/>
        <w:rPr>
          <w:rFonts w:ascii="Arial" w:cs="Arial" w:eastAsia="Arial" w:hAnsi="Arial"/>
          <w:sz w:val="16"/>
          <w:szCs w:val="16"/>
          <w:color w:val="auto"/>
        </w:rPr>
      </w:pPr>
    </w:p>
    <w:p>
      <w:pPr>
        <w:ind w:left="1000" w:right="5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any audit problems or difficulties and management’s response;</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if appropriate, approving related person transactions;</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 and</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preparing the audit committee report required by the SEC rules (which is included on page </w:t>
      </w:r>
      <w:r>
        <w:rPr>
          <w:rFonts w:ascii="Arial" w:cs="Arial" w:eastAsia="Arial" w:hAnsi="Arial"/>
          <w:sz w:val="18"/>
          <w:szCs w:val="18"/>
          <w:u w:val="single" w:color="auto"/>
          <w:color w:val="0000EE"/>
        </w:rPr>
        <w:t>8</w:t>
      </w:r>
      <w:r>
        <w:rPr>
          <w:rFonts w:ascii="Arial" w:cs="Arial" w:eastAsia="Arial" w:hAnsi="Arial"/>
          <w:sz w:val="18"/>
          <w:szCs w:val="18"/>
          <w:color w:val="auto"/>
        </w:rPr>
        <w:t xml:space="preserve"> of this Proxy Statement).</w:t>
      </w:r>
    </w:p>
    <w:p>
      <w:pPr>
        <w:spacing w:after="0" w:line="62"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 xml:space="preserve">The Audit Committee charter is available on our investor relations website at </w:t>
      </w:r>
      <w:r>
        <w:rPr>
          <w:rFonts w:ascii="Arial" w:cs="Arial" w:eastAsia="Arial" w:hAnsi="Arial"/>
          <w:sz w:val="17"/>
          <w:szCs w:val="17"/>
          <w:i w:val="1"/>
          <w:iCs w:val="1"/>
          <w:color w:val="auto"/>
        </w:rPr>
        <w:t>investors.gohealth.com</w:t>
      </w:r>
      <w:r>
        <w:rPr>
          <w:rFonts w:ascii="Arial" w:cs="Arial" w:eastAsia="Arial" w:hAnsi="Arial"/>
          <w:sz w:val="17"/>
          <w:szCs w:val="17"/>
          <w:color w:val="auto"/>
        </w:rPr>
        <w:t>. The members of the Audit Committee are David Fisher, Alexander Timm and Karolina Hilu, with Mr. Fisher serving as the Chairperson. Our Board has affirmatively determined that each of Mr. Fisher, Mr. Timm and Dr. Hilu is independent for purposes of serving on an audit committee under Rule 10A-3 promulgated under the Exchange Act and the Nasdaq Rules, including those related to Audit Committee membership.</w:t>
      </w:r>
    </w:p>
    <w:p>
      <w:pPr>
        <w:spacing w:after="0" w:line="68" w:lineRule="exact"/>
        <w:rPr>
          <w:sz w:val="20"/>
          <w:szCs w:val="20"/>
          <w:color w:val="auto"/>
        </w:rPr>
      </w:pPr>
    </w:p>
    <w:p>
      <w:pPr>
        <w:ind w:left="300" w:right="699"/>
        <w:spacing w:after="0" w:line="301" w:lineRule="auto"/>
        <w:rPr>
          <w:sz w:val="20"/>
          <w:szCs w:val="20"/>
          <w:color w:val="auto"/>
        </w:rPr>
      </w:pPr>
      <w:r>
        <w:rPr>
          <w:rFonts w:ascii="Arial" w:cs="Arial" w:eastAsia="Arial" w:hAnsi="Arial"/>
          <w:sz w:val="16"/>
          <w:szCs w:val="16"/>
          <w:color w:val="auto"/>
        </w:rPr>
        <w:t>The members of our Audit Committee meet the requirements for financial literacy under the applicable Nasdaq rules. In addition, our Board of Directors has determined that Mr. Fisher and Mr. Timm qualify as an “audit committee financial expert,” as such term is defined in Item 407(d)(5) of Regulation S-K, and under the similar Nasdaq Rules requirement that the Audit Committee have a financially sophisticated member.</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met seven times in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300" w:right="319"/>
        <w:spacing w:after="0" w:line="308" w:lineRule="auto"/>
        <w:rPr>
          <w:sz w:val="20"/>
          <w:szCs w:val="20"/>
          <w:color w:val="auto"/>
        </w:rPr>
      </w:pPr>
      <w:r>
        <w:rPr>
          <w:rFonts w:ascii="Arial" w:cs="Arial" w:eastAsia="Arial" w:hAnsi="Arial"/>
          <w:sz w:val="17"/>
          <w:szCs w:val="17"/>
          <w:color w:val="auto"/>
        </w:rPr>
        <w:t>Our Compensation Committee is responsible for assisting the Board in the discharge of its responsibilities relating to the compensation of our executive officers. Our Compensation Committee’s responsibilities include:</w:t>
      </w:r>
    </w:p>
    <w:p>
      <w:pPr>
        <w:spacing w:after="0" w:line="38" w:lineRule="exact"/>
        <w:rPr>
          <w:sz w:val="20"/>
          <w:szCs w:val="20"/>
          <w:color w:val="auto"/>
        </w:rPr>
      </w:pPr>
    </w:p>
    <w:p>
      <w:pPr>
        <w:ind w:left="1000" w:right="6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for approval by the Board, the compensation of our CEO, and reviewing and approving the compensation of our other executive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40"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to the extent required;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to the extent required by SEC rules.</w:t>
      </w:r>
    </w:p>
    <w:p>
      <w:pPr>
        <w:spacing w:after="0" w:line="117"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which is available on our investor relations website at </w:t>
      </w:r>
      <w:r>
        <w:rPr>
          <w:rFonts w:ascii="Arial" w:cs="Arial" w:eastAsia="Arial" w:hAnsi="Arial"/>
          <w:sz w:val="17"/>
          <w:szCs w:val="17"/>
          <w:i w:val="1"/>
          <w:iCs w:val="1"/>
          <w:color w:val="auto"/>
        </w:rPr>
        <w:t>investors.gohealth.com</w:t>
      </w:r>
      <w:r>
        <w:rPr>
          <w:rFonts w:ascii="Arial" w:cs="Arial" w:eastAsia="Arial" w:hAnsi="Arial"/>
          <w:sz w:val="17"/>
          <w:szCs w:val="17"/>
          <w:color w:val="auto"/>
        </w:rPr>
        <w:t>, the Compensation Committee has the authority to retain or obtain the advice of compensation consultants, legal counsel and other advisors to assist in carrying out its responsibilities. In 2020, in connection with preparation for our IPO, the Company retained Pearl Meyer to provide guidance in establishing our executive compensation program as a public company. Pearl Meyer continues to be retained by the Committee and to consult with our Company regarding various aspects of executive and director compensation, including with respect to our long-term incentive program.</w:t>
      </w:r>
    </w:p>
    <w:p>
      <w:pPr>
        <w:spacing w:after="0" w:line="73"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The members of our Compensation Committee are Brandon Cruz, Jeremy Gelber and David Fisher. Mr. Cruz serves as the Chairperson of the Compensation Committee.</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Compensation Committee met three times in 2022.</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guidelines;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17" w:lineRule="exact"/>
        <w:rPr>
          <w:sz w:val="20"/>
          <w:szCs w:val="20"/>
          <w:color w:val="auto"/>
        </w:rPr>
      </w:pPr>
    </w:p>
    <w:p>
      <w:pPr>
        <w:ind w:left="300" w:right="659"/>
        <w:spacing w:after="0" w:line="255" w:lineRule="auto"/>
        <w:rPr>
          <w:sz w:val="20"/>
          <w:szCs w:val="20"/>
          <w:color w:val="auto"/>
        </w:rPr>
      </w:pPr>
      <w:r>
        <w:rPr>
          <w:rFonts w:ascii="Arial" w:cs="Arial" w:eastAsia="Arial" w:hAnsi="Arial"/>
          <w:sz w:val="18"/>
          <w:szCs w:val="18"/>
          <w:color w:val="auto"/>
        </w:rPr>
        <w:t xml:space="preserve">The Nominating and Corporate Governance Committee charter is available on our website at </w:t>
      </w:r>
      <w:r>
        <w:rPr>
          <w:rFonts w:ascii="Arial" w:cs="Arial" w:eastAsia="Arial" w:hAnsi="Arial"/>
          <w:sz w:val="18"/>
          <w:szCs w:val="18"/>
          <w:i w:val="1"/>
          <w:iCs w:val="1"/>
          <w:color w:val="auto"/>
        </w:rPr>
        <w:t>investors.gohealth.com</w:t>
      </w:r>
      <w:r>
        <w:rPr>
          <w:rFonts w:ascii="Arial" w:cs="Arial" w:eastAsia="Arial" w:hAnsi="Arial"/>
          <w:sz w:val="18"/>
          <w:szCs w:val="18"/>
          <w:color w:val="auto"/>
        </w:rPr>
        <w:t>. The members of our Nominating and Corporate Governance Committee are Joseph</w:t>
      </w:r>
      <w:r>
        <w:rPr>
          <w:rFonts w:ascii="Arial" w:cs="Arial" w:eastAsia="Arial" w:hAnsi="Arial"/>
          <w:sz w:val="18"/>
          <w:szCs w:val="18"/>
          <w:i w:val="1"/>
          <w:iCs w:val="1"/>
          <w:color w:val="auto"/>
        </w:rPr>
        <w:t xml:space="preserve"> </w:t>
      </w:r>
      <w:r>
        <w:rPr>
          <w:rFonts w:ascii="Arial" w:cs="Arial" w:eastAsia="Arial" w:hAnsi="Arial"/>
          <w:sz w:val="18"/>
          <w:szCs w:val="18"/>
          <w:color w:val="auto"/>
        </w:rPr>
        <w:t>Flanagan, Jeremy Gelber and Clinton Jones. The Nominating and Corporate Governance Committee has the authority to consult with outside advisors or retain search firms to assist in the search for qualified candidates or consider director candidates recommended by our stockholders. Mr. Flanagan serves as the Chairperson of the Nominating and Corporate Governance Committee.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Nominating and Corporate Governance Committee did not have any formal meetings in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This section discusses the compensation arrangements for our executive officers who are named in the “2022 Summary Compensation Table” below. As a “smaller reporting company,” we are not required to include a Compensation Discussion and Analysis section and have elected to comply with the scaled disclosure requirements applicable to “smaller reporting companies.”</w:t>
      </w:r>
    </w:p>
    <w:p>
      <w:pPr>
        <w:spacing w:after="0" w:line="79"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For the year ended December 31, 2022, our “named executive officers” (or “NEOs”) and their positions were as follows:</w:t>
      </w:r>
    </w:p>
    <w:p>
      <w:pPr>
        <w:spacing w:after="0" w:line="62" w:lineRule="exact"/>
        <w:rPr>
          <w:sz w:val="20"/>
          <w:szCs w:val="20"/>
          <w:color w:val="auto"/>
        </w:rPr>
      </w:pPr>
    </w:p>
    <w:p>
      <w:pPr>
        <w:ind w:left="1000" w:hanging="348"/>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Vijay Kotte,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Jason Schulz, Chief Financial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Shane Cruz, Chief Strategy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Clinton Jones, former Chief Executive Officer and current Co-Chairman of the Board*</w:t>
      </w:r>
    </w:p>
    <w:p>
      <w:pPr>
        <w:spacing w:after="0" w:line="58" w:lineRule="exact"/>
        <w:rPr>
          <w:rFonts w:ascii="Arial" w:cs="Arial" w:eastAsia="Arial" w:hAnsi="Arial"/>
          <w:sz w:val="18"/>
          <w:szCs w:val="18"/>
          <w:color w:val="auto"/>
        </w:rPr>
      </w:pPr>
    </w:p>
    <w:p>
      <w:pPr>
        <w:ind w:left="640" w:right="639" w:hanging="351"/>
        <w:spacing w:after="0" w:line="253" w:lineRule="auto"/>
        <w:rPr>
          <w:rFonts w:ascii="Arial" w:cs="Arial" w:eastAsia="Arial" w:hAnsi="Arial"/>
          <w:sz w:val="18"/>
          <w:szCs w:val="18"/>
          <w:color w:val="auto"/>
        </w:rPr>
      </w:pPr>
      <w:r>
        <w:rPr>
          <w:rFonts w:ascii="Arial" w:cs="Arial" w:eastAsia="Arial" w:hAnsi="Arial"/>
          <w:sz w:val="14"/>
          <w:szCs w:val="14"/>
          <w:color w:val="auto"/>
        </w:rPr>
        <w:t>*On June 3, 2022, the Board appointed Vijay Kotte as Chief Executive Officer of the Company and Clint Jones transitioned from Chief Executive Officer to Co-Chairman of the Board.</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discussion describes our executive compensation program for our NEOs for fiscal year 2022.</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jc w:val="both"/>
        <w:ind w:left="300" w:right="439"/>
        <w:spacing w:after="0" w:line="263" w:lineRule="auto"/>
        <w:rPr>
          <w:sz w:val="20"/>
          <w:szCs w:val="20"/>
          <w:color w:val="auto"/>
        </w:rPr>
      </w:pPr>
      <w:r>
        <w:rPr>
          <w:rFonts w:ascii="Arial" w:cs="Arial" w:eastAsia="Arial" w:hAnsi="Arial"/>
          <w:sz w:val="18"/>
          <w:szCs w:val="18"/>
          <w:color w:val="auto"/>
        </w:rPr>
        <w:t>The Compensation Committee oversees the compensation program for our executive officers, including our NEOs. Our executive compensation program is based on a pay for performance philosophy and is designed to balance the following objectives:</w:t>
      </w:r>
    </w:p>
    <w:p>
      <w:pPr>
        <w:spacing w:after="0" w:line="76" w:lineRule="exact"/>
        <w:rPr>
          <w:sz w:val="20"/>
          <w:szCs w:val="20"/>
          <w:color w:val="auto"/>
        </w:rPr>
      </w:pPr>
    </w:p>
    <w:p>
      <w:pPr>
        <w:ind w:left="1000" w:right="9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engage, motivate, retain and appropriately reward executives for their contributions to our business, our customers, our partners and our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Closely align executive interests and rewards with the interests of our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Drive the achievement of the Company’s purpose, mission, values and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competitive compensation compared to the external market</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In order to support the achievement of our compensation objectives, the Compensation Committee has included the following elements in its compensation package for NEOs:</w:t>
      </w:r>
    </w:p>
    <w:p>
      <w:pPr>
        <w:spacing w:after="0" w:line="62"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Incentive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Equity Grant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300" w:right="339"/>
        <w:spacing w:after="0" w:line="290" w:lineRule="auto"/>
        <w:rPr>
          <w:sz w:val="20"/>
          <w:szCs w:val="20"/>
          <w:color w:val="auto"/>
        </w:rPr>
      </w:pPr>
      <w:r>
        <w:rPr>
          <w:rFonts w:ascii="Arial" w:cs="Arial" w:eastAsia="Arial" w:hAnsi="Arial"/>
          <w:sz w:val="16"/>
          <w:szCs w:val="16"/>
          <w:color w:val="auto"/>
        </w:rPr>
        <w:t>The NEOs receive a base salary to compensate for services rendered to the Company. The base salary payable to each NEO is intended to provide a fixed component of compensation reflecting the executive’s skill set, experience, role and responsibilities. Base salaries for Clinton Jones and Shane Cruz were increased 20% and 12.5%, respectively, to acknowledge the change in roles and experience of such individuals as they changed roles within the Company. The base salary for each of Mr. Kotte and Mr. Schulz was established at the time each executive joined the Company based on the Company’s historical compensation practices and competitive market data, with input from the Compensation Committee’s independent compensation consultant. Please see the “Salary” column in the 2022 Summary Compensation Table for the base salary amounts earned by each NEO in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2022 Bonuses</w:t>
      </w:r>
    </w:p>
    <w:p>
      <w:pPr>
        <w:spacing w:after="0" w:line="121"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color w:val="auto"/>
        </w:rPr>
        <w:t>The Company provides annual incentive cash bonuses, which we refer to as “Annual Bonuses,” to its NEOs under its 2022 Executive Compensation and Bonus Plan, which we refer to as the “Annual Bonus Plan.” Company targets were established by the Board during the first quarter of the fiscal year based upon the Company’s 2022 annual operating plan. However, upon the appointment of Mr. Kotte and Mr. Schulz to their respective roles in June 2022, the Compensation Committee, after discussing with the full Board, revised the targets to align with the priorities of the new executive team. The targets were designed to be challenging but achievable with strong performance. The Annual Bonus Plan is structured to compensate NEOs (and employees generally) for achievement of Company objectives. In the event the Company does not achieve its pre-established targets, the payout is reduced. If the Company exceeds its targets, payouts increase with a maximum payout of 200% of target. This structure aligns with the Company’s pay for performance compensation philosophy.</w:t>
      </w:r>
    </w:p>
    <w:p>
      <w:pPr>
        <w:spacing w:after="0" w:line="60"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For the fiscal year ended December 31, 2022, each NEO’s Annual Bonus was based on three metrics: (1) the Company’s cash flow from operations, with a 50% weighting, (2) cost to acquire an effectuated policy, with a 25% weighting, and (3) Encompass Connect sales as a percentage of overall fourth quarter sales for 2022, with the remaining 25% weighting. The payout uses a performance scale for each of the three components, ranging from 0% to 200%.</w:t>
      </w:r>
    </w:p>
    <w:p>
      <w:pPr>
        <w:spacing w:after="0" w:line="80" w:lineRule="exact"/>
        <w:rPr>
          <w:sz w:val="20"/>
          <w:szCs w:val="20"/>
          <w:color w:val="auto"/>
        </w:rPr>
      </w:pPr>
    </w:p>
    <w:p>
      <w:pPr>
        <w:ind w:left="1000" w:right="539" w:hanging="348"/>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Cash flow from operations</w:t>
      </w:r>
      <w:r>
        <w:rPr>
          <w:rFonts w:ascii="Arial" w:cs="Arial" w:eastAsia="Arial" w:hAnsi="Arial"/>
          <w:sz w:val="18"/>
          <w:szCs w:val="18"/>
          <w:color w:val="auto"/>
        </w:rPr>
        <w:t>. The target for cash flow from operations was negative $30 million, which would result in 100% payout of target for this component. If cash flow from operations was below negative $50 million, no payout would be made; if cash flow from operations was $0 or above, payout would be 200%. The actual cash flow from operations for 2022 was $62 million resulting in a payout of 200% for this metric.</w:t>
      </w:r>
    </w:p>
    <w:p>
      <w:pPr>
        <w:spacing w:after="0" w:line="79" w:lineRule="exact"/>
        <w:rPr>
          <w:rFonts w:ascii="Arial" w:cs="Arial" w:eastAsia="Arial" w:hAnsi="Arial"/>
          <w:sz w:val="18"/>
          <w:szCs w:val="18"/>
          <w:color w:val="auto"/>
        </w:rPr>
      </w:pPr>
    </w:p>
    <w:p>
      <w:pPr>
        <w:ind w:left="1000" w:right="399" w:hanging="348"/>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Cost to acquire an effectuated policy</w:t>
      </w:r>
      <w:r>
        <w:rPr>
          <w:rFonts w:ascii="Arial" w:cs="Arial" w:eastAsia="Arial" w:hAnsi="Arial"/>
          <w:sz w:val="18"/>
          <w:szCs w:val="18"/>
          <w:color w:val="auto"/>
        </w:rPr>
        <w:t>. For the cost to acquire an effectuated policy, the target for 2022 was $737, in line with the operating plan, and would result in a 100% payout of target for this component. If the cost was more than $810, there would be a 0% payout. If the cost was at or below $597, payout would be 200%. The actual cost to acquire an effectuated policy for 2022 was $657, resulting in a 140% payout for this metric.</w:t>
      </w:r>
    </w:p>
    <w:p>
      <w:pPr>
        <w:spacing w:after="0" w:line="79" w:lineRule="exact"/>
        <w:rPr>
          <w:rFonts w:ascii="Arial" w:cs="Arial" w:eastAsia="Arial" w:hAnsi="Arial"/>
          <w:sz w:val="18"/>
          <w:szCs w:val="18"/>
          <w:color w:val="auto"/>
        </w:rPr>
      </w:pPr>
    </w:p>
    <w:p>
      <w:pPr>
        <w:ind w:left="1000" w:right="339" w:hanging="348"/>
        <w:spacing w:after="0" w:line="255"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Encompass sales as a percentage of overall fourth quarter sales</w:t>
      </w:r>
      <w:r>
        <w:rPr>
          <w:rFonts w:ascii="Arial" w:cs="Arial" w:eastAsia="Arial" w:hAnsi="Arial"/>
          <w:sz w:val="18"/>
          <w:szCs w:val="18"/>
          <w:color w:val="auto"/>
        </w:rPr>
        <w:t>. The target Encompass Connect sales as a percentage of overall fourth quarter sales for 2022 was 35%, in line with the annual operating plan, and would result in a 100% payout of target for this component. If the percentage fell below 25%, payout for this component would be 0% and if the percentage was above 45%, payout for this component would be 200%. The actual Encompass Connect as percentage of fourth quarter sales for 2022 was 48%, resulting in a 200% payout for this metric.</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target Annual Bonus amounts for the NEOs were: Clint Jones - $175,000, Vijay Kotte - $900,000, Jason Schulz</w:t>
      </w:r>
    </w:p>
    <w:p>
      <w:pPr>
        <w:spacing w:after="0" w:line="46" w:lineRule="exact"/>
        <w:rPr>
          <w:sz w:val="20"/>
          <w:szCs w:val="20"/>
          <w:color w:val="auto"/>
        </w:rPr>
      </w:pPr>
    </w:p>
    <w:p>
      <w:pPr>
        <w:ind w:left="300" w:right="479" w:hanging="8"/>
        <w:spacing w:after="0" w:line="253"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$400,000, and Shane Cruz - $400,000. Annual Bonuses for the fiscal year ended December 31, 2022 were determined to be 186% of target, based upon the metrics and results listed above. In addition, per the terms of the Jones A&amp;R Employment Agreement (as described below), Mr. Jones received 200% of his annual bonus for 2022. The amounts of the Annual Bonuses for the year ended December 31, 2022 are reflected in the 2022 Summary Compensation Table.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2020 Incentive Award Plan</w:t>
      </w:r>
    </w:p>
    <w:p>
      <w:pPr>
        <w:spacing w:after="0" w:line="117" w:lineRule="exact"/>
        <w:rPr>
          <w:sz w:val="20"/>
          <w:szCs w:val="20"/>
          <w:color w:val="auto"/>
        </w:rPr>
      </w:pPr>
    </w:p>
    <w:p>
      <w:pPr>
        <w:ind w:left="300" w:right="579"/>
        <w:spacing w:after="0" w:line="308" w:lineRule="auto"/>
        <w:rPr>
          <w:sz w:val="20"/>
          <w:szCs w:val="20"/>
          <w:color w:val="auto"/>
        </w:rPr>
      </w:pPr>
      <w:r>
        <w:rPr>
          <w:rFonts w:ascii="Arial" w:cs="Arial" w:eastAsia="Arial" w:hAnsi="Arial"/>
          <w:sz w:val="17"/>
          <w:szCs w:val="17"/>
          <w:color w:val="auto"/>
        </w:rPr>
        <w:t>In November 2022, the Company undertook a reverse stock split of 1:15. All numbers described below regarding share grants are adjusted to reflect the share amounts following such reverse stock split.</w:t>
      </w:r>
    </w:p>
    <w:p>
      <w:pPr>
        <w:spacing w:after="0" w:line="38"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The Company maintains the Amended and Restated 2020 Incentive Award Plan (the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we believe is essential to our long-term success. The maximum number of shares of common stock reserved under the Plan is (i) 1,115,531 shares of our common stock, plus (ii) an annual increase on the first day of each year ending in and including 2030, equal to the lesser of (A) 5% of the outstanding shares of all classes of our Class A common stock and Class B common stock outstanding on the last day of the immediately preceding fiscal year and (B) such lesser amount as determined by our Board of Directors. The Plan provides for the grant of stock options, including incentive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options and nonqualified stock options, restricted stock, dividend equivalents, restricted stock units, other stock-based awards, SARs, and cash awards. Vesting conditions applicable to awards granted under the Plan may be based on continuing service, the attainment of performance goals and/or such other conditions as the plan administrator may determine.</w:t>
      </w:r>
    </w:p>
    <w:p>
      <w:pPr>
        <w:spacing w:after="0" w:line="79"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The Company provides annual equity grants to its NEOs. Generally, grants include a mix of time-based grants and performance-based grants, either in the form of restricted stock units (“RSUs”) or stock options. These grants are intended to align the executive team compensation with the interests of stockholders and to encourage good, long-term decision making. Vesting of such equity grants are conditioned upon remaining employed with the Company with some limited exceptions provided in each individual NEOs employment agreement.</w:t>
      </w:r>
    </w:p>
    <w:p>
      <w:pPr>
        <w:spacing w:after="0" w:line="53" w:lineRule="exact"/>
        <w:rPr>
          <w:sz w:val="20"/>
          <w:szCs w:val="20"/>
          <w:color w:val="auto"/>
        </w:rPr>
      </w:pPr>
    </w:p>
    <w:p>
      <w:pPr>
        <w:ind w:left="300" w:right="379"/>
        <w:spacing w:after="0" w:line="271" w:lineRule="auto"/>
        <w:rPr>
          <w:sz w:val="20"/>
          <w:szCs w:val="20"/>
          <w:color w:val="auto"/>
        </w:rPr>
      </w:pPr>
      <w:r>
        <w:rPr>
          <w:rFonts w:ascii="Arial" w:cs="Arial" w:eastAsia="Arial" w:hAnsi="Arial"/>
          <w:sz w:val="17"/>
          <w:szCs w:val="17"/>
          <w:color w:val="auto"/>
        </w:rPr>
        <w:t>Upon his hiring as CEO, Mr. Kotte received (1) 188,888 stock options, vesting in four equal annual installments on the anniversaries of the grant date, (2) 377,777 shares of common stock as fully vested RSUs, and (3) 94,444 shares of common stock in the form of performance-based restricted stock units vesting on the third anniversary of the grant date with the payout percentage being based on the volume weighted average price performance (“VWAP”) over such three-year period. The payout will be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w:t>
      </w:r>
    </w:p>
    <w:p>
      <w:pPr>
        <w:spacing w:after="0" w:line="70"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Upon his hiring as CFO, Mr. Schulz received (1) 66,666 stock options, vesting in four equal annual installments on the anniversaries of the grant date, (2) 133,333 shares of common stock as fully vested RSUs, and (3) 100,000 shares of common stock in the form of performance-based restricted stock units vesting on the third anniversary of the grant date with the payout percentage being based on the VWAP over such three-year period. The payout will be</w:t>
      </w:r>
    </w:p>
    <w:p>
      <w:pPr>
        <w:spacing w:after="0" w:line="1" w:lineRule="exact"/>
        <w:rPr>
          <w:sz w:val="20"/>
          <w:szCs w:val="20"/>
          <w:color w:val="auto"/>
        </w:rPr>
      </w:pPr>
    </w:p>
    <w:p>
      <w:pPr>
        <w:ind w:left="300" w:right="419" w:hanging="8"/>
        <w:spacing w:after="0" w:line="302" w:lineRule="auto"/>
        <w:tabs>
          <w:tab w:leader="none" w:pos="5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w:t>
      </w:r>
    </w:p>
    <w:p>
      <w:pPr>
        <w:spacing w:after="0" w:line="47" w:lineRule="exact"/>
        <w:rPr>
          <w:sz w:val="20"/>
          <w:szCs w:val="20"/>
          <w:color w:val="auto"/>
        </w:rPr>
      </w:pPr>
    </w:p>
    <w:p>
      <w:pPr>
        <w:ind w:left="300" w:right="479"/>
        <w:spacing w:after="0" w:line="275" w:lineRule="auto"/>
        <w:rPr>
          <w:sz w:val="20"/>
          <w:szCs w:val="20"/>
          <w:color w:val="auto"/>
        </w:rPr>
      </w:pPr>
      <w:r>
        <w:rPr>
          <w:rFonts w:ascii="Arial" w:cs="Arial" w:eastAsia="Arial" w:hAnsi="Arial"/>
          <w:sz w:val="17"/>
          <w:szCs w:val="17"/>
          <w:color w:val="auto"/>
        </w:rPr>
        <w:t>In connection with his transition from CEO to Executive Co-Chairman of the Board, Mr. Jones received a stock appreciation right valued at $1,500,000 which shall vest on the third anniversary of the grant date and be settled in cash. Mr. Jones received no other equity grants in 2022. For the 2022 fiscal year, Mr. Cruz received two equity grants that included 114,285 and 53,333 time-based RSUs, each which vest in three equal annual installments with the first installment for both grants vesting on April 25, 2023.</w:t>
      </w:r>
    </w:p>
    <w:p>
      <w:pPr>
        <w:spacing w:after="0" w:line="68"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In April 2022, the Board approved a repricing of stock options outstanding at such time for all employees but excluding certain executive officers. Mr. Cruz’s stock options were included in the repricing. Mr. Jones’ stock options were not included in the repricing and Mr. Kotte and Mr. Schulz were not employed by the Company at such time. At the time, Mr. Cruz had 5,173 outstanding stock options and the exercise price was adjusted from $14.81 to $1.05, the closing stock price on the date of the repricing, and then further adjusted to $15.75 as a result of the reverse stock split.</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Elements of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We maintain a 401(k) retirement savings plan for our employees, including our NEOs, who satisfy certain eligibility requirements, under which eligible employees may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NEOs, in accordance with our compensation objectives.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7"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NEOs, are eligible to participate in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plans, including:</w:t>
      </w:r>
    </w:p>
    <w:p>
      <w:pPr>
        <w:spacing w:after="0" w:line="62"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117" w:lineRule="exact"/>
        <w:rPr>
          <w:sz w:val="20"/>
          <w:szCs w:val="20"/>
          <w:color w:val="auto"/>
        </w:rPr>
      </w:pPr>
    </w:p>
    <w:p>
      <w:pPr>
        <w:ind w:left="300" w:right="499"/>
        <w:spacing w:after="0" w:line="263" w:lineRule="auto"/>
        <w:rPr>
          <w:sz w:val="20"/>
          <w:szCs w:val="20"/>
          <w:color w:val="auto"/>
        </w:rPr>
      </w:pPr>
      <w:r>
        <w:rPr>
          <w:rFonts w:ascii="Arial" w:cs="Arial" w:eastAsia="Arial" w:hAnsi="Arial"/>
          <w:sz w:val="18"/>
          <w:szCs w:val="18"/>
          <w:color w:val="auto"/>
        </w:rPr>
        <w:t>In addition, we make available to our senior executives, including our NEOs, programs related to executive health benefits. We believe the benefits described above are necessary and appropriate to provide a competitive compensation package to our employees, including our NEOs.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7" w:lineRule="exact"/>
        <w:rPr>
          <w:sz w:val="20"/>
          <w:szCs w:val="20"/>
          <w:color w:val="auto"/>
        </w:rPr>
      </w:pPr>
    </w:p>
    <w:p>
      <w:pPr>
        <w:ind w:left="300" w:right="959"/>
        <w:spacing w:after="0" w:line="277" w:lineRule="auto"/>
        <w:rPr>
          <w:sz w:val="20"/>
          <w:szCs w:val="20"/>
          <w:color w:val="auto"/>
        </w:rPr>
      </w:pPr>
      <w:r>
        <w:rPr>
          <w:rFonts w:ascii="Arial" w:cs="Arial" w:eastAsia="Arial" w:hAnsi="Arial"/>
          <w:sz w:val="18"/>
          <w:szCs w:val="18"/>
          <w:color w:val="auto"/>
        </w:rPr>
        <w:t>We do not make gross-up payments to cover our NEOs personal income taxes that may pertain to any of the compensation or benefits paid or provided by our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TABLES</w:t>
      </w:r>
    </w:p>
    <w:p>
      <w:pPr>
        <w:spacing w:after="0" w:line="12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The following table provides information regarding the compensation earned by our NEOs for the fiscal year ended December 31, 2022 and, to the extent required under the SEC executive compensation disclosure rules, the fiscal year ended December 31, 2021.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3"/>
                <w:szCs w:val="23"/>
                <w:b w:val="1"/>
                <w:bCs w:val="1"/>
                <w:color w:val="auto"/>
                <w:vertAlign w:val="superscript"/>
              </w:rPr>
              <w:t>(1)</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4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3"/>
                <w:szCs w:val="13"/>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840" w:type="dxa"/>
            <w:vAlign w:val="bottom"/>
            <w:gridSpan w:val="3"/>
          </w:tcPr>
          <w:p>
            <w:pPr>
              <w:jc w:val="center"/>
              <w:ind w:right="12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140" w:type="dxa"/>
            <w:vAlign w:val="bottom"/>
            <w:gridSpan w:val="3"/>
          </w:tcPr>
          <w:p>
            <w:pPr>
              <w:jc w:val="center"/>
              <w:ind w:right="120"/>
              <w:spacing w:after="0" w:line="152"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(4)</w:t>
            </w:r>
          </w:p>
        </w:tc>
        <w:tc>
          <w:tcPr>
            <w:tcW w:w="1140" w:type="dxa"/>
            <w:vAlign w:val="bottom"/>
            <w:gridSpan w:val="2"/>
          </w:tcPr>
          <w:p>
            <w:pPr>
              <w:jc w:val="center"/>
              <w:ind w:right="100"/>
              <w:spacing w:after="0" w:line="152"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(5)</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86"/>
        </w:trPr>
        <w:tc>
          <w:tcPr>
            <w:tcW w:w="2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Vijay Kotte</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$484,615</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$5,425,820</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7"/>
              </w:rPr>
              <w:t>$1,614,992</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7"/>
              </w:rPr>
              <w:t>1,670,400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$ 10,572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$9,206,399</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1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220" w:type="dxa"/>
            <w:vAlign w:val="bottom"/>
            <w:gridSpan w:val="2"/>
          </w:tcPr>
          <w:p>
            <w:pPr>
              <w:spacing w:after="0"/>
              <w:rPr>
                <w:sz w:val="20"/>
                <w:szCs w:val="20"/>
                <w:color w:val="auto"/>
              </w:rPr>
            </w:pPr>
            <w:r>
              <w:rPr>
                <w:rFonts w:ascii="Arial" w:cs="Arial" w:eastAsia="Arial" w:hAnsi="Arial"/>
                <w:sz w:val="16"/>
                <w:szCs w:val="16"/>
                <w:color w:val="auto"/>
              </w:rPr>
              <w:t>Jason Schulz</w:t>
            </w:r>
          </w:p>
        </w:tc>
        <w:tc>
          <w:tcPr>
            <w:tcW w:w="400" w:type="dxa"/>
            <w:vAlign w:val="bottom"/>
            <w:gridSpan w:val="2"/>
          </w:tcPr>
          <w:p>
            <w:pPr>
              <w:jc w:val="center"/>
              <w:spacing w:after="0"/>
              <w:rPr>
                <w:sz w:val="20"/>
                <w:szCs w:val="20"/>
                <w:color w:val="auto"/>
              </w:rPr>
            </w:pPr>
            <w:r>
              <w:rPr>
                <w:rFonts w:ascii="Arial" w:cs="Arial" w:eastAsia="Arial" w:hAnsi="Arial"/>
                <w:sz w:val="16"/>
                <w:szCs w:val="16"/>
                <w:color w:val="auto"/>
                <w:w w:val="95"/>
              </w:rPr>
              <w:t>2022</w:t>
            </w:r>
          </w:p>
        </w:tc>
        <w:tc>
          <w:tcPr>
            <w:tcW w:w="860" w:type="dxa"/>
            <w:vAlign w:val="bottom"/>
            <w:gridSpan w:val="3"/>
          </w:tcPr>
          <w:p>
            <w:pPr>
              <w:jc w:val="center"/>
              <w:spacing w:after="0"/>
              <w:rPr>
                <w:sz w:val="20"/>
                <w:szCs w:val="20"/>
                <w:color w:val="auto"/>
              </w:rPr>
            </w:pPr>
            <w:r>
              <w:rPr>
                <w:rFonts w:ascii="Arial" w:cs="Arial" w:eastAsia="Arial" w:hAnsi="Arial"/>
                <w:sz w:val="16"/>
                <w:szCs w:val="16"/>
                <w:color w:val="auto"/>
                <w:w w:val="89"/>
              </w:rPr>
              <w:t>$269,231</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$2,464,996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569,994</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742,400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  5,082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$4,051,703</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Shane Cruz</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$478,654</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$2,247,986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27,158</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708,135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$ 25,051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$3,486,984</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Strategy Officer</w:t>
            </w:r>
          </w:p>
        </w:tc>
        <w:tc>
          <w:tcPr>
            <w:tcW w:w="6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2021</w:t>
            </w:r>
          </w:p>
        </w:tc>
        <w:tc>
          <w:tcPr>
            <w:tcW w:w="86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$413,462</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$2,403,796</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687,492</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178,674</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$ 20,991</w:t>
            </w: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$3,704,415</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60" w:type="dxa"/>
            <w:vAlign w:val="bottom"/>
            <w:gridSpan w:val="3"/>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gridSpan w:val="2"/>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220" w:type="dxa"/>
            <w:vAlign w:val="bottom"/>
            <w:gridSpan w:val="2"/>
          </w:tcPr>
          <w:p>
            <w:pPr>
              <w:spacing w:after="0"/>
              <w:rPr>
                <w:sz w:val="20"/>
                <w:szCs w:val="20"/>
                <w:color w:val="auto"/>
              </w:rPr>
            </w:pPr>
            <w:r>
              <w:rPr>
                <w:rFonts w:ascii="Arial" w:cs="Arial" w:eastAsia="Arial" w:hAnsi="Arial"/>
                <w:sz w:val="16"/>
                <w:szCs w:val="16"/>
                <w:color w:val="auto"/>
              </w:rPr>
              <w:t>Clinton Jones</w:t>
            </w:r>
          </w:p>
        </w:tc>
        <w:tc>
          <w:tcPr>
            <w:tcW w:w="400" w:type="dxa"/>
            <w:vAlign w:val="bottom"/>
            <w:gridSpan w:val="2"/>
          </w:tcPr>
          <w:p>
            <w:pPr>
              <w:jc w:val="center"/>
              <w:spacing w:after="0"/>
              <w:rPr>
                <w:sz w:val="20"/>
                <w:szCs w:val="20"/>
                <w:color w:val="auto"/>
              </w:rPr>
            </w:pPr>
            <w:r>
              <w:rPr>
                <w:rFonts w:ascii="Arial" w:cs="Arial" w:eastAsia="Arial" w:hAnsi="Arial"/>
                <w:sz w:val="16"/>
                <w:szCs w:val="16"/>
                <w:color w:val="auto"/>
                <w:w w:val="95"/>
              </w:rPr>
              <w:t>2022</w:t>
            </w:r>
          </w:p>
        </w:tc>
        <w:tc>
          <w:tcPr>
            <w:tcW w:w="860" w:type="dxa"/>
            <w:vAlign w:val="bottom"/>
            <w:gridSpan w:val="3"/>
          </w:tcPr>
          <w:p>
            <w:pPr>
              <w:jc w:val="center"/>
              <w:spacing w:after="0"/>
              <w:rPr>
                <w:sz w:val="20"/>
                <w:szCs w:val="20"/>
                <w:color w:val="auto"/>
              </w:rPr>
            </w:pPr>
            <w:r>
              <w:rPr>
                <w:rFonts w:ascii="Arial" w:cs="Arial" w:eastAsia="Arial" w:hAnsi="Arial"/>
                <w:sz w:val="16"/>
                <w:szCs w:val="16"/>
                <w:color w:val="auto"/>
                <w:w w:val="89"/>
              </w:rPr>
              <w:t>$419,231</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w w:val="87"/>
              </w:rPr>
              <w:t>$1,500,000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649,600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$ 91,126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$2,659,957</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6"/>
                <w:szCs w:val="16"/>
                <w:color w:val="auto"/>
              </w:rPr>
              <w:t>Former Chief Executive Officer</w:t>
            </w:r>
          </w:p>
        </w:tc>
        <w:tc>
          <w:tcPr>
            <w:tcW w:w="4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2021</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9"/>
              </w:rPr>
              <w:t>$325,000</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$3,000,003</w:t>
            </w:r>
          </w:p>
        </w:tc>
        <w:tc>
          <w:tcPr>
            <w:tcW w:w="120" w:type="dxa"/>
            <w:vAlign w:val="bottom"/>
          </w:tcPr>
          <w:p>
            <w:pPr>
              <w:spacing w:after="0"/>
              <w:rPr>
                <w:sz w:val="17"/>
                <w:szCs w:val="17"/>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w w:val="87"/>
              </w:rPr>
              <w:t>$1,000,073</w:t>
            </w:r>
          </w:p>
        </w:tc>
        <w:tc>
          <w:tcPr>
            <w:tcW w:w="220" w:type="dxa"/>
            <w:vAlign w:val="bottom"/>
            <w:vMerge w:val="restart"/>
          </w:tcPr>
          <w:p>
            <w:pPr>
              <w:ind w:left="140"/>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ind w:right="100"/>
              <w:spacing w:after="0"/>
              <w:rPr>
                <w:sz w:val="20"/>
                <w:szCs w:val="20"/>
                <w:color w:val="auto"/>
              </w:rPr>
            </w:pPr>
            <w:r>
              <w:rPr>
                <w:rFonts w:ascii="Arial" w:cs="Arial" w:eastAsia="Arial" w:hAnsi="Arial"/>
                <w:sz w:val="16"/>
                <w:szCs w:val="16"/>
                <w:color w:val="auto"/>
              </w:rPr>
              <w:t>98,000</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2"/>
              </w:rPr>
              <w:t>$507,768</w:t>
            </w:r>
          </w:p>
        </w:tc>
        <w:tc>
          <w:tcPr>
            <w:tcW w:w="10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2"/>
              </w:rPr>
              <w:t>$4,930,844</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-1576705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-1576705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-1576705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-1576705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-1576705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-1576705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-1576705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actual base salary paid in the applicable fiscal year.</w:t>
      </w:r>
    </w:p>
    <w:p>
      <w:pPr>
        <w:spacing w:after="0" w:line="41" w:lineRule="exact"/>
        <w:rPr>
          <w:rFonts w:ascii="Arial" w:cs="Arial" w:eastAsia="Arial" w:hAnsi="Arial"/>
          <w:sz w:val="14"/>
          <w:szCs w:val="14"/>
          <w:color w:val="auto"/>
        </w:rPr>
      </w:pPr>
    </w:p>
    <w:p>
      <w:pPr>
        <w:ind w:left="640" w:right="399" w:hanging="348"/>
        <w:spacing w:after="0" w:line="243"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the grant date fair value of RSUs granted in the fiscal year, calculated in accordance with FASB ASC Topic 718. The grant date fair value of the time-based units is calculated based on the number of RSUs granted multiplied by the grant date closing price. The grant date fair value of the performance-based RSUs is calculated using the Monte Carlo simulation model. If the performance-based RSUs vest at the maximum performance level, the grant date fair value of the 2022 performance-based RSUs would be: Mr. Kotte-$1,558,326;</w:t>
      </w:r>
    </w:p>
    <w:p>
      <w:pPr>
        <w:ind w:left="640"/>
        <w:spacing w:after="0"/>
        <w:rPr>
          <w:rFonts w:ascii="Arial" w:cs="Arial" w:eastAsia="Arial" w:hAnsi="Arial"/>
          <w:sz w:val="13"/>
          <w:szCs w:val="13"/>
          <w:color w:val="auto"/>
        </w:rPr>
      </w:pPr>
      <w:r>
        <w:rPr>
          <w:rFonts w:ascii="Arial" w:cs="Arial" w:eastAsia="Arial" w:hAnsi="Arial"/>
          <w:sz w:val="14"/>
          <w:szCs w:val="14"/>
          <w:color w:val="auto"/>
        </w:rPr>
        <w:t>Mr. Schulz- $1,650,000. The other NEOs did not receive performance-based grants in 2022.</w:t>
      </w:r>
    </w:p>
    <w:p>
      <w:pPr>
        <w:spacing w:after="0" w:line="29" w:lineRule="exact"/>
        <w:rPr>
          <w:rFonts w:ascii="Arial" w:cs="Arial" w:eastAsia="Arial" w:hAnsi="Arial"/>
          <w:sz w:val="13"/>
          <w:szCs w:val="13"/>
          <w:color w:val="auto"/>
        </w:rPr>
      </w:pPr>
    </w:p>
    <w:p>
      <w:pPr>
        <w:ind w:left="640" w:right="439" w:hanging="348"/>
        <w:spacing w:after="0" w:line="231"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grant date fair value of the stock option awards, calculated using the Black-Scholes option pricing model and in accordance with FASB ASC Topic 718. See Note 7 to the Audited Financial Statements for the relevant assumptions used in calculating these amounts. The amount included for Mr. Jones for 2022 includes a Stock Appreciation Right which is paid out in cash, in lieu of shares. The amount included for Mr. Cruz for 2022 represents the incremental fair value of repriced options, computed in accordance with FASB ASC Topic 718.</w:t>
      </w:r>
    </w:p>
    <w:p>
      <w:pPr>
        <w:spacing w:after="0" w:line="21" w:lineRule="exact"/>
        <w:rPr>
          <w:rFonts w:ascii="Arial" w:cs="Arial" w:eastAsia="Arial" w:hAnsi="Arial"/>
          <w:sz w:val="14"/>
          <w:szCs w:val="14"/>
          <w:color w:val="auto"/>
        </w:rPr>
      </w:pPr>
    </w:p>
    <w:p>
      <w:pPr>
        <w:ind w:left="640" w:right="439" w:hanging="348"/>
        <w:spacing w:after="0" w:line="238"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in this column reflect cash awards paid under the Annual Bonus Plan based upon Company performance, which is discussed in further detail in the Executive Compensation Overview section. Note that Mr. Cruz's target bonus amount was adjusted in July 2022 when he accepted the Chief Strategy Officer role.</w:t>
      </w:r>
    </w:p>
    <w:p>
      <w:pPr>
        <w:spacing w:after="0" w:line="20" w:lineRule="exact"/>
        <w:rPr>
          <w:rFonts w:ascii="Arial" w:cs="Arial" w:eastAsia="Arial" w:hAnsi="Arial"/>
          <w:sz w:val="14"/>
          <w:szCs w:val="14"/>
          <w:color w:val="auto"/>
        </w:rPr>
      </w:pPr>
    </w:p>
    <w:p>
      <w:pPr>
        <w:ind w:left="640" w:right="117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in this column for 2022 consist of the sum of all other compensation as reported in the table below of All Other Compensation:</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All Other Compensation</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401(k)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Executive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Life Insurance</w:t>
            </w:r>
          </w:p>
        </w:tc>
        <w:tc>
          <w:tcPr>
            <w:tcW w:w="240" w:type="dxa"/>
            <w:vAlign w:val="bottom"/>
            <w:vMerge w:val="restart"/>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Health</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4"/>
              </w:rPr>
              <w:t>Perquisites</w:t>
            </w:r>
            <w:r>
              <w:rPr>
                <w:rFonts w:ascii="Arial" w:cs="Arial" w:eastAsia="Arial" w:hAnsi="Arial"/>
                <w:sz w:val="23"/>
                <w:szCs w:val="23"/>
                <w:b w:val="1"/>
                <w:bCs w:val="1"/>
                <w:color w:val="auto"/>
                <w:w w:val="84"/>
                <w:vertAlign w:val="superscript"/>
              </w:rPr>
              <w:t>(c)</w:t>
            </w:r>
          </w:p>
        </w:tc>
        <w:tc>
          <w:tcPr>
            <w:tcW w:w="240" w:type="dxa"/>
            <w:vAlign w:val="bottom"/>
            <w:vMerge w:val="restart"/>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3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ind w:left="220"/>
              <w:spacing w:after="0" w:line="242" w:lineRule="exact"/>
              <w:rPr>
                <w:sz w:val="20"/>
                <w:szCs w:val="20"/>
                <w:color w:val="auto"/>
              </w:rPr>
            </w:pPr>
            <w:r>
              <w:rPr>
                <w:rFonts w:ascii="Arial" w:cs="Arial" w:eastAsia="Arial" w:hAnsi="Arial"/>
                <w:sz w:val="14"/>
                <w:szCs w:val="14"/>
                <w:b w:val="1"/>
                <w:bCs w:val="1"/>
                <w:color w:val="auto"/>
              </w:rPr>
              <w:t>Match</w:t>
            </w:r>
            <w:r>
              <w:rPr>
                <w:rFonts w:ascii="Arial" w:cs="Arial" w:eastAsia="Arial" w:hAnsi="Arial"/>
                <w:sz w:val="23"/>
                <w:szCs w:val="23"/>
                <w:b w:val="1"/>
                <w:bCs w:val="1"/>
                <w:color w:val="auto"/>
                <w:vertAlign w:val="superscript"/>
              </w:rPr>
              <w:t>(a)</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8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6"/>
              </w:rPr>
              <w:t>Care</w:t>
            </w:r>
            <w:r>
              <w:rPr>
                <w:rFonts w:ascii="Arial" w:cs="Arial" w:eastAsia="Arial" w:hAnsi="Arial"/>
                <w:sz w:val="23"/>
                <w:szCs w:val="23"/>
                <w:b w:val="1"/>
                <w:bCs w:val="1"/>
                <w:color w:val="auto"/>
                <w:w w:val="86"/>
                <w:vertAlign w:val="superscript"/>
              </w:rPr>
              <w:t>(b)</w:t>
            </w: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Vijay Kotte</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$4,154</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$128</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$ 6,290</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$10,572</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Jason Schulz</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  769</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$128</w:t>
            </w:r>
          </w:p>
        </w:tc>
        <w:tc>
          <w:tcPr>
            <w:tcW w:w="240" w:type="dxa"/>
            <w:vAlign w:val="bottom"/>
          </w:tcPr>
          <w:p>
            <w:pPr>
              <w:spacing w:after="0"/>
              <w:rPr>
                <w:sz w:val="23"/>
                <w:szCs w:val="23"/>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$ 4,185</w:t>
            </w:r>
          </w:p>
        </w:tc>
        <w:tc>
          <w:tcPr>
            <w:tcW w:w="240" w:type="dxa"/>
            <w:vAlign w:val="bottom"/>
          </w:tcPr>
          <w:p>
            <w:pPr>
              <w:spacing w:after="0"/>
              <w:rPr>
                <w:sz w:val="23"/>
                <w:szCs w:val="23"/>
                <w:color w:val="auto"/>
              </w:rPr>
            </w:pP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r>
              <w:rPr>
                <w:rFonts w:ascii="Arial" w:cs="Arial" w:eastAsia="Arial" w:hAnsi="Arial"/>
                <w:sz w:val="18"/>
                <w:szCs w:val="18"/>
                <w:color w:val="auto"/>
                <w:w w:val="96"/>
              </w:rPr>
              <w:t>$ 5,082</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Cruz</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$8,213</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$284</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$16,554</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$25,051</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Clinton Jones</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$6,883</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$257</w:t>
            </w:r>
          </w:p>
        </w:tc>
        <w:tc>
          <w:tcPr>
            <w:tcW w:w="240" w:type="dxa"/>
            <w:vAlign w:val="bottom"/>
          </w:tcPr>
          <w:p>
            <w:pPr>
              <w:spacing w:after="0"/>
              <w:rPr>
                <w:sz w:val="23"/>
                <w:szCs w:val="23"/>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$15,014</w:t>
            </w:r>
          </w:p>
        </w:tc>
        <w:tc>
          <w:tcPr>
            <w:tcW w:w="240" w:type="dxa"/>
            <w:vAlign w:val="bottom"/>
          </w:tcPr>
          <w:p>
            <w:pPr>
              <w:spacing w:after="0"/>
              <w:rPr>
                <w:sz w:val="23"/>
                <w:szCs w:val="23"/>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$68,972</w:t>
            </w:r>
          </w:p>
        </w:tc>
        <w:tc>
          <w:tcPr>
            <w:tcW w:w="24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$91,126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-805180</wp:posOffset>
            </wp:positionV>
            <wp:extent cx="154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-805180</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-805180</wp:posOffset>
            </wp:positionV>
            <wp:extent cx="154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-805180</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-805180</wp:posOffset>
            </wp:positionV>
            <wp:extent cx="162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right="439" w:hanging="348"/>
        <w:spacing w:after="0" w:line="23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GoHealth, Inc. 401(k) is available to all eligible salaried and hourly employees, including senior management. Participants contribute by making pre-tax employee contributions that are then matched by the Company. The match is 50% of the first 4% of employee contributions.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provides certain senior officers with access to executive health benefits.</w:t>
      </w:r>
    </w:p>
    <w:p>
      <w:pPr>
        <w:spacing w:after="0" w:line="41" w:lineRule="exact"/>
        <w:rPr>
          <w:rFonts w:ascii="Arial" w:cs="Arial" w:eastAsia="Arial" w:hAnsi="Arial"/>
          <w:sz w:val="14"/>
          <w:szCs w:val="14"/>
          <w:color w:val="auto"/>
        </w:rPr>
      </w:pPr>
    </w:p>
    <w:p>
      <w:pPr>
        <w:jc w:val="both"/>
        <w:ind w:left="640" w:right="379" w:hanging="348"/>
        <w:spacing w:after="0" w:line="23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While serving as CEO, Mr. Jones was permitted to have 100 hours of personal use of private aircraft at the Company’s expense pursuant to his employment agreements. The expense is calculated based upon an hourly rate based upon underlying cost. Once Mr. Jones transitioned out of the CEO role, he was no longer permitted this perquisite.</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The severance rights of each NEO are provided in their applicable employment arrangements. In each case, the severance amounts provided under the Employment Agreements are subject to the execution and non-revocation of a waiver and release of claims by the named executive officer in question. In addition, equity awards under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Plan do not automatically vest upon termination of service with some exceptions. Outstanding awards are generally forfeited upon separation although the administrator has discretion to accelerate the vesting in the event of death, disability, retirement and change of control.</w:t>
      </w:r>
    </w:p>
    <w:p>
      <w:pPr>
        <w:spacing w:after="0" w:line="76"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Vijay Kotte and Jason Schulz entered into an employment agreement with the Company on June 3, 2022. Under the terms of their employment agreements, Mr. Kotte and Mr. Schulz are entitled to annual base salaries of $900,000 and $500,000, respectively, and have target annual cash bonuses equal to 100% and 80% of annual base salary, respectively. Mr. Kotte and Mr. Schulz are entitled to the following equity awards under the Company’s 2021 Inducement Award Plan (the “Inducement Plan”):</w:t>
      </w:r>
    </w:p>
    <w:p>
      <w:pPr>
        <w:spacing w:after="0" w:line="26" w:lineRule="exact"/>
        <w:rPr>
          <w:sz w:val="20"/>
          <w:szCs w:val="20"/>
          <w:color w:val="auto"/>
        </w:rPr>
      </w:pPr>
    </w:p>
    <w:p>
      <w:pPr>
        <w:ind w:left="1000" w:right="539" w:hanging="348"/>
        <w:spacing w:after="0" w:line="25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with respect to 188,888 and 66,666 shares of Company common stock, respectively, vesting in four equal installments on the first four anniversaries of the grant date; provided that, in the event the executive is terminated without cause during the 90 Day Acceleration Period (as defined below), then, effective as of immediately prior to such termination of employment, all unvested options shall vest and become exercisable in full;</w:t>
      </w:r>
    </w:p>
    <w:p>
      <w:pPr>
        <w:spacing w:after="0" w:line="25" w:lineRule="exact"/>
        <w:rPr>
          <w:rFonts w:ascii="Arial" w:cs="Arial" w:eastAsia="Arial" w:hAnsi="Arial"/>
          <w:sz w:val="18"/>
          <w:szCs w:val="18"/>
          <w:color w:val="auto"/>
        </w:rPr>
      </w:pPr>
    </w:p>
    <w:p>
      <w:pPr>
        <w:ind w:left="1000" w:right="499" w:hanging="348"/>
        <w:spacing w:after="0" w:line="273"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Restricted stock units with respect to 377,777 and 133,333 shares of Company common stock, respectively, all of which fully vested on the date of grant; provided that, if the executive terminates his employment without good reason prior to the 12 month anniversary of his start date, any shares of Company common stock received in settlement of such RSUs shall be forfeited for no consideration and the executive shall repay to the Company the amount of any gain realized by the executive upon the sale of any shares received in settlement of such RSUs;</w:t>
      </w:r>
    </w:p>
    <w:p>
      <w:pPr>
        <w:spacing w:after="0" w:line="15" w:lineRule="exact"/>
        <w:rPr>
          <w:rFonts w:ascii="Arial" w:cs="Arial" w:eastAsia="Arial" w:hAnsi="Arial"/>
          <w:sz w:val="17"/>
          <w:szCs w:val="17"/>
          <w:color w:val="auto"/>
        </w:rPr>
      </w:pPr>
    </w:p>
    <w:p>
      <w:pPr>
        <w:ind w:left="1000" w:right="339" w:hanging="348"/>
        <w:spacing w:after="0" w:line="29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Performance stock units with respect to 94,444 and 100,000 shares of Company common stock, respectively, vesting on the third anniversary of the date of grant in the following percentages based on volume weighted average price performance over such three year period (“Three Year VWAP”): (i) 50% if the Three Year VWAP is equal to or greater than $30.00 but less than $45.00; (ii) 100% if the Three Year VWAP is equal to or greater than $45.00 but less than $60; (iii) 150% if the Three Year VWAP is equal to or greater than $60 but less than $90.00; and (iv) 200% if the Three Year VWAP is equal to or greater than $90.00, in each case subject to the executive’s continued employment on the vesting date; provided that:</w:t>
      </w:r>
    </w:p>
    <w:p>
      <w:pPr>
        <w:spacing w:after="0" w:line="4" w:lineRule="exact"/>
        <w:rPr>
          <w:rFonts w:ascii="Arial" w:cs="Arial" w:eastAsia="Arial" w:hAnsi="Arial"/>
          <w:sz w:val="16"/>
          <w:szCs w:val="16"/>
          <w:color w:val="auto"/>
        </w:rPr>
      </w:pPr>
    </w:p>
    <w:p>
      <w:pPr>
        <w:ind w:left="1360" w:right="419" w:hanging="348"/>
        <w:spacing w:after="0" w:line="244" w:lineRule="auto"/>
        <w:tabs>
          <w:tab w:leader="none" w:pos="1360" w:val="left"/>
        </w:tabs>
        <w:numPr>
          <w:ilvl w:val="1"/>
          <w:numId w:val="21"/>
        </w:numPr>
        <w:rPr>
          <w:rFonts w:ascii="Arial" w:cs="Arial" w:eastAsia="Arial" w:hAnsi="Arial"/>
          <w:sz w:val="22"/>
          <w:szCs w:val="22"/>
          <w:color w:val="auto"/>
          <w:vertAlign w:val="superscript"/>
        </w:rPr>
      </w:pPr>
      <w:r>
        <w:rPr>
          <w:rFonts w:ascii="Arial" w:cs="Arial" w:eastAsia="Arial" w:hAnsi="Arial"/>
          <w:sz w:val="18"/>
          <w:szCs w:val="18"/>
          <w:color w:val="auto"/>
        </w:rPr>
        <w:t>In the event the executive is terminated by the Company without cause or resigns for good reasons during the 90-day period immediately preceding the three year anniversary of the vesting date (the “90 Day Acceleration Period”), then, effective as of immediately prior to such termination of employment, such performance stock units shall immediately vest in full, with the number of vested performance stock units determined based on actual Three Year VWAP performance as measured on such three year anniversary; and</w:t>
      </w:r>
    </w:p>
    <w:p>
      <w:pPr>
        <w:spacing w:after="0" w:line="40" w:lineRule="exact"/>
        <w:rPr>
          <w:rFonts w:ascii="Arial" w:cs="Arial" w:eastAsia="Arial" w:hAnsi="Arial"/>
          <w:sz w:val="22"/>
          <w:szCs w:val="22"/>
          <w:color w:val="auto"/>
          <w:vertAlign w:val="superscript"/>
        </w:rPr>
      </w:pPr>
    </w:p>
    <w:p>
      <w:pPr>
        <w:ind w:left="1360" w:right="339" w:hanging="348"/>
        <w:spacing w:after="0" w:line="282" w:lineRule="auto"/>
        <w:tabs>
          <w:tab w:leader="none" w:pos="1360" w:val="left"/>
        </w:tabs>
        <w:numPr>
          <w:ilvl w:val="1"/>
          <w:numId w:val="21"/>
        </w:numPr>
        <w:rPr>
          <w:rFonts w:ascii="Arial" w:cs="Arial" w:eastAsia="Arial" w:hAnsi="Arial"/>
          <w:sz w:val="19"/>
          <w:szCs w:val="19"/>
          <w:color w:val="auto"/>
          <w:vertAlign w:val="superscript"/>
        </w:rPr>
      </w:pPr>
      <w:r>
        <w:rPr>
          <w:rFonts w:ascii="Arial" w:cs="Arial" w:eastAsia="Arial" w:hAnsi="Arial"/>
          <w:sz w:val="16"/>
          <w:szCs w:val="16"/>
          <w:color w:val="auto"/>
        </w:rPr>
        <w:t>In the event of a change in control (as defined in the Inducement Plan) (i) prior to the 18 month anniversary of the effective date of the executive’s employment agreement, such performance stock units shall vest immediately prior to such change in control at the greater of target level and actual performance assuming the Three Year VWAP is equal to the per-share transaction price in connection with such change in control; and (ii) on or after the 18 month anniversary of the effective date of the executive’s employment agreement, such performance stock units shall vest immediately prior to such change in control at the greater of target level and actual performance assuming the Three Year VWAP measurement period ends on the date immediately prior to the change in control (unless the per-share transaction price in connection with such change in control is greater than or equal to $90.00, in which case such performance stock units shall vest at 200%).</w:t>
      </w:r>
    </w:p>
    <w:p>
      <w:pPr>
        <w:spacing w:after="0" w:line="11" w:lineRule="exact"/>
        <w:rPr>
          <w:rFonts w:ascii="Arial" w:cs="Arial" w:eastAsia="Arial" w:hAnsi="Arial"/>
          <w:sz w:val="19"/>
          <w:szCs w:val="19"/>
          <w:color w:val="auto"/>
          <w:vertAlign w:val="superscript"/>
        </w:rPr>
      </w:pPr>
    </w:p>
    <w:p>
      <w:pPr>
        <w:ind w:left="1000" w:right="339" w:hanging="348"/>
        <w:spacing w:after="0" w:line="29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Beginning in 2023, Mr. Kotte and Mr. Schulz are entitled to annual equity awards under the Company’s Plan in forms and amounts to be determined by the Board or the Compensation Committee of the Board in its discretion; provided that each of Mr. Kotte and Mr. Schulz’s annual awards shall be made with respect to no less than 333,333 and 66,666 shares of Company common stock, respectively; provided further that such minimum share amounts shall have a maximum grant date dollar value of no more than $15,000,000 and $3,000,000 respectively and, unless otherwise approved by the Compensation Committee or the Board, no more than 25% of each annual award shall consist of time-vesting restricted stock units.</w:t>
      </w:r>
    </w:p>
    <w:p>
      <w:pPr>
        <w:spacing w:after="0" w:line="58" w:lineRule="exact"/>
        <w:rPr>
          <w:sz w:val="20"/>
          <w:szCs w:val="20"/>
          <w:color w:val="auto"/>
        </w:rPr>
      </w:pPr>
    </w:p>
    <w:p>
      <w:pPr>
        <w:ind w:left="300" w:right="699"/>
        <w:spacing w:after="0" w:line="308" w:lineRule="auto"/>
        <w:rPr>
          <w:sz w:val="20"/>
          <w:szCs w:val="20"/>
          <w:color w:val="auto"/>
        </w:rPr>
      </w:pPr>
      <w:r>
        <w:rPr>
          <w:rFonts w:ascii="Arial" w:cs="Arial" w:eastAsia="Arial" w:hAnsi="Arial"/>
          <w:sz w:val="17"/>
          <w:szCs w:val="17"/>
          <w:color w:val="auto"/>
        </w:rPr>
        <w:t>In the event of a termination of the executive by the Company without cause or the executive’s resignation with good reason, (i) Mr. Kotte will receive two years of salary continuation, 200% of his pro-rata annual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color w:val="auto"/>
        </w:rPr>
        <w:t>bonus for the year of termination, and two years of COBRA premium reimbursements; and (ii) Mr. Schulz will receive eighteen months of salary continuation, 100% of his pro-rata annual bonus for the year of termination, and eighteen months of COBRA premium reimbursement (unless such termination occurs within the 12 month period immediately following a change in control, in which case such periods and percentages for Mr. Schulz shall be two years, 200%, and two years, respectively), in each case subject to the executive executing a release of claims in favor of the company and complying with any restrictive covenants through the period of payment.</w:t>
      </w:r>
    </w:p>
    <w:p>
      <w:pPr>
        <w:spacing w:after="0" w:line="56"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Mr. Kotte and Mr. Schulz are each subject to a restrictive covenant agreement, including a perpetual confidentiality covenant, an invention assignment provision, and post-employment non-competition and non-solicitation covenants lasting for two-years post-employment for Mr. Kotte and eighteen months for Mr. Schulz (extended to two years if Mr. Schulz’s termination occurs within 12-month period immediately following a change in control).</w:t>
      </w:r>
    </w:p>
    <w:p>
      <w:pPr>
        <w:spacing w:after="0" w:line="49" w:lineRule="exact"/>
        <w:rPr>
          <w:sz w:val="20"/>
          <w:szCs w:val="20"/>
          <w:color w:val="auto"/>
        </w:rPr>
      </w:pPr>
    </w:p>
    <w:p>
      <w:pPr>
        <w:ind w:left="300" w:right="299"/>
        <w:spacing w:after="0" w:line="284" w:lineRule="auto"/>
        <w:rPr>
          <w:sz w:val="20"/>
          <w:szCs w:val="20"/>
          <w:color w:val="auto"/>
        </w:rPr>
      </w:pPr>
      <w:r>
        <w:rPr>
          <w:rFonts w:ascii="Arial" w:cs="Arial" w:eastAsia="Arial" w:hAnsi="Arial"/>
          <w:sz w:val="16"/>
          <w:szCs w:val="16"/>
          <w:color w:val="auto"/>
        </w:rPr>
        <w:t>Clinton Jones entered into an Amended &amp; Restated Employment Agreement with the Company on June 3, 2022 (the “Jones A&amp;R Employment Agreement”). Under the Jones A&amp;R Employment Agreement, Mr. Jones received an annual base salary of $500,000 until December 31, 2022 for serving as Executive Chairman of the Board. Mr. Jones is also entitled to receive two stock appreciation right awards under the Plan. The first stock appreciation right award was granted on June 6, 2022 and the second stock appreciation right award will be granted on or about June 1, 2023. Each stock appreciation right award will be settled in cash with an aggregate grant date value equal to $1,500,000 (the number of shares to be determined by dividing such value by the per share Black-Scholes valuation as of the date of grant), will have an exercise price equal to the fair market value of a share of the Company’s common stock on the date of grant and will vest in full on the third anniversary of the date of grant (unless Mr. Jones’s employment or Board service is terminated by the Company for cause, in which case the award shall be forfeited for no consideration and, if such termination occurs prior to the grant of the second award, the second award shall not be granted). Pursuant to the Jones A&amp;R Employment Agreement, as of December 31, 2022, Mr. Jones transitions to Co-Chairman of the Board and Mr. Jones receives two years of salary continuation, 200% of his pro-rata annual bonus for 2022 (assuming a full year annual bonus equal to $175,000) and up to 18 months of COBRA premium reimbursement (including additional payments to cover estimated taxes associated with the receipt of such COBRA premium reimbursements), subject to Mr. Jones executing a release of claims in favor of the Company and complying with any restrictive covenants through the period of payment. Mr. Jones remains subject to the terms of his existing restrictive covenant agreement. Beginning on the date Mr. Jones no longer serves as Executive Chairman and until May 31, 2024, in addition to the severance described above, the Jones A&amp;R Employment Agreement provides that Mr. Jones will receive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w:t>
      </w:r>
    </w:p>
    <w:p>
      <w:pPr>
        <w:spacing w:after="0" w:line="286" w:lineRule="exact"/>
        <w:rPr>
          <w:sz w:val="20"/>
          <w:szCs w:val="20"/>
          <w:color w:val="auto"/>
        </w:rPr>
      </w:pPr>
    </w:p>
    <w:p>
      <w:pPr>
        <w:ind w:left="300" w:right="299"/>
        <w:spacing w:after="0" w:line="289" w:lineRule="auto"/>
        <w:rPr>
          <w:sz w:val="20"/>
          <w:szCs w:val="20"/>
          <w:color w:val="auto"/>
        </w:rPr>
      </w:pPr>
      <w:r>
        <w:rPr>
          <w:rFonts w:ascii="Arial" w:cs="Arial" w:eastAsia="Arial" w:hAnsi="Arial"/>
          <w:sz w:val="16"/>
          <w:szCs w:val="16"/>
          <w:color w:val="auto"/>
        </w:rPr>
        <w:t>Shane Cruz entered into an Amended &amp; Restated Employment Agreement with the Company on August 1, 2022 (the “Cruz A&amp;R Employment Agreement”). Under the Cruz A&amp;R Employment Agreement, Mr. Cruz receives an annual base salary of $500,000 and is eligible for an annual cash bonus targeted at $400,000 per complete fiscal year. In the event of a termination of the executive by the Company without cause or the executive’s resignation with good reason, Mr. Cruz shall be entitled to (i) a continuation of base salary for a two (2) year period following the date of termination, (ii) a cash bonus for the year of termination at 100% of the targeted bonus for such year, provided that if there is a change of control within 12 months of Mr. Cruz’s termination, such bonus shall be multiplied by two (2), and (iii) up to 24 months of COBRA premium reimbursement (including additional payments to cover estimated taxes associated with the receipt of such COBRA premium reimbursements).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outstanding option awards and unvested profits interests and stock awards held by each NEO on December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607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ind w:left="64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ind w:left="32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178"/>
        </w:trPr>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Equity</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5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Plan</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Number of</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Market</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1"/>
                <w:szCs w:val="11"/>
                <w:color w:val="auto"/>
              </w:rPr>
            </w:pPr>
          </w:p>
        </w:tc>
        <w:tc>
          <w:tcPr>
            <w:tcW w:w="5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Units</w:t>
            </w: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 of</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Units or</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of Stock</w:t>
            </w: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or</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5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That</w:t>
            </w: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Units of</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Rights</w:t>
            </w:r>
          </w:p>
        </w:tc>
        <w:tc>
          <w:tcPr>
            <w:tcW w:w="80" w:type="dxa"/>
            <w:vAlign w:val="bottom"/>
          </w:tcPr>
          <w:p>
            <w:pPr>
              <w:spacing w:after="0"/>
              <w:rPr>
                <w:sz w:val="11"/>
                <w:szCs w:val="11"/>
                <w:color w:val="auto"/>
              </w:rPr>
            </w:pPr>
          </w:p>
        </w:tc>
        <w:tc>
          <w:tcPr>
            <w:tcW w:w="5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88"/>
              </w:rPr>
              <w:t>Rights</w:t>
            </w:r>
          </w:p>
        </w:tc>
      </w:tr>
      <w:tr>
        <w:trPr>
          <w:trHeight w:val="135"/>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Have</w:t>
            </w: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Stock That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That Have</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r>
      <w:tr>
        <w:trPr>
          <w:trHeight w:val="129"/>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5"/>
              </w:rPr>
              <w:t>Options</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5"/>
              </w:rPr>
              <w:t>Options</w:t>
            </w: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6"/>
              </w:rPr>
              <w:t>Unearned</w:t>
            </w:r>
          </w:p>
        </w:tc>
        <w:tc>
          <w:tcPr>
            <w:tcW w:w="620" w:type="dxa"/>
            <w:vAlign w:val="bottom"/>
            <w:gridSpan w:val="3"/>
          </w:tcPr>
          <w:p>
            <w:pPr>
              <w:jc w:val="right"/>
              <w:ind w:right="160"/>
              <w:spacing w:after="0" w:line="129" w:lineRule="exact"/>
              <w:rPr>
                <w:sz w:val="20"/>
                <w:szCs w:val="20"/>
                <w:color w:val="auto"/>
              </w:rPr>
            </w:pPr>
            <w:r>
              <w:rPr>
                <w:rFonts w:ascii="Arial" w:cs="Arial" w:eastAsia="Arial" w:hAnsi="Arial"/>
                <w:sz w:val="13"/>
                <w:szCs w:val="13"/>
                <w:b w:val="1"/>
                <w:bCs w:val="1"/>
                <w:color w:val="auto"/>
                <w:w w:val="82"/>
              </w:rPr>
              <w:t>Exercise</w:t>
            </w:r>
          </w:p>
        </w:tc>
        <w:tc>
          <w:tcPr>
            <w:tcW w:w="580" w:type="dxa"/>
            <w:vAlign w:val="bottom"/>
          </w:tcPr>
          <w:p>
            <w:pPr>
              <w:ind w:left="80"/>
              <w:spacing w:after="0" w:line="129" w:lineRule="exact"/>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1"/>
                <w:szCs w:val="11"/>
                <w:color w:val="auto"/>
              </w:rPr>
            </w:pPr>
          </w:p>
        </w:tc>
        <w:tc>
          <w:tcPr>
            <w:tcW w:w="60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Not</w:t>
            </w:r>
          </w:p>
        </w:tc>
        <w:tc>
          <w:tcPr>
            <w:tcW w:w="800" w:type="dxa"/>
            <w:vAlign w:val="bottom"/>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Have Not</w:t>
            </w: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9"/>
              </w:rPr>
              <w:t>Note</w:t>
            </w:r>
          </w:p>
        </w:tc>
        <w:tc>
          <w:tcPr>
            <w:tcW w:w="80" w:type="dxa"/>
            <w:vAlign w:val="bottom"/>
          </w:tcPr>
          <w:p>
            <w:pPr>
              <w:spacing w:after="0"/>
              <w:rPr>
                <w:sz w:val="11"/>
                <w:szCs w:val="11"/>
                <w:color w:val="auto"/>
              </w:rPr>
            </w:pPr>
          </w:p>
        </w:tc>
        <w:tc>
          <w:tcPr>
            <w:tcW w:w="520" w:type="dxa"/>
            <w:vAlign w:val="bottom"/>
          </w:tcPr>
          <w:p>
            <w:pPr>
              <w:jc w:val="center"/>
              <w:ind w:right="55"/>
              <w:spacing w:after="0" w:line="129" w:lineRule="exact"/>
              <w:rPr>
                <w:sz w:val="20"/>
                <w:szCs w:val="20"/>
                <w:color w:val="auto"/>
              </w:rPr>
            </w:pPr>
            <w:r>
              <w:rPr>
                <w:rFonts w:ascii="Arial" w:cs="Arial" w:eastAsia="Arial" w:hAnsi="Arial"/>
                <w:sz w:val="13"/>
                <w:szCs w:val="13"/>
                <w:b w:val="1"/>
                <w:bCs w:val="1"/>
                <w:color w:val="auto"/>
                <w:w w:val="82"/>
              </w:rPr>
              <w:t>Note</w:t>
            </w:r>
          </w:p>
        </w:tc>
      </w:tr>
      <w:tr>
        <w:trPr>
          <w:trHeight w:val="141"/>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Grant</w:t>
            </w: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0"/>
                <w:szCs w:val="10"/>
                <w:b w:val="1"/>
                <w:bCs w:val="1"/>
                <w:color w:val="auto"/>
              </w:rPr>
              <w:t>Exercisable</w:t>
            </w:r>
            <w:r>
              <w:rPr>
                <w:rFonts w:ascii="Arial" w:cs="Arial" w:eastAsia="Arial" w:hAnsi="Arial"/>
                <w:sz w:val="16"/>
                <w:szCs w:val="16"/>
                <w:b w:val="1"/>
                <w:bCs w:val="1"/>
                <w:color w:val="auto"/>
                <w:vertAlign w:val="superscript"/>
              </w:rPr>
              <w:t>(1)</w:t>
            </w:r>
          </w:p>
        </w:tc>
        <w:tc>
          <w:tcPr>
            <w:tcW w:w="1000" w:type="dxa"/>
            <w:vAlign w:val="bottom"/>
            <w:gridSpan w:val="2"/>
          </w:tcPr>
          <w:p>
            <w:pPr>
              <w:spacing w:after="0" w:line="142"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(1)</w:t>
            </w:r>
          </w:p>
        </w:tc>
        <w:tc>
          <w:tcPr>
            <w:tcW w:w="8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2"/>
                <w:szCs w:val="12"/>
                <w:color w:val="auto"/>
              </w:rPr>
            </w:pPr>
          </w:p>
        </w:tc>
        <w:tc>
          <w:tcPr>
            <w:tcW w:w="54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7"/>
              </w:rPr>
              <w:t>Price</w:t>
            </w:r>
          </w:p>
        </w:tc>
        <w:tc>
          <w:tcPr>
            <w:tcW w:w="5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1"/>
              </w:rPr>
              <w:t>Expiration</w:t>
            </w: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2" w:lineRule="exact"/>
              <w:rPr>
                <w:sz w:val="20"/>
                <w:szCs w:val="20"/>
                <w:color w:val="auto"/>
              </w:rPr>
            </w:pPr>
            <w:r>
              <w:rPr>
                <w:rFonts w:ascii="Arial" w:cs="Arial" w:eastAsia="Arial" w:hAnsi="Arial"/>
                <w:sz w:val="10"/>
                <w:szCs w:val="10"/>
                <w:b w:val="1"/>
                <w:bCs w:val="1"/>
                <w:color w:val="auto"/>
              </w:rPr>
              <w:t xml:space="preserve">Vested </w:t>
            </w:r>
            <w:r>
              <w:rPr>
                <w:rFonts w:ascii="Arial" w:cs="Arial" w:eastAsia="Arial" w:hAnsi="Arial"/>
                <w:sz w:val="16"/>
                <w:szCs w:val="16"/>
                <w:b w:val="1"/>
                <w:bCs w:val="1"/>
                <w:color w:val="auto"/>
                <w:vertAlign w:val="superscript"/>
              </w:rPr>
              <w:t>(2)</w:t>
            </w:r>
          </w:p>
        </w:tc>
        <w:tc>
          <w:tcPr>
            <w:tcW w:w="740" w:type="dxa"/>
            <w:vAlign w:val="bottom"/>
            <w:gridSpan w:val="2"/>
          </w:tcPr>
          <w:p>
            <w:pPr>
              <w:jc w:val="center"/>
              <w:ind w:right="140"/>
              <w:spacing w:after="0" w:line="142"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(3)</w:t>
            </w:r>
          </w:p>
        </w:tc>
        <w:tc>
          <w:tcPr>
            <w:tcW w:w="600" w:type="dxa"/>
            <w:vAlign w:val="bottom"/>
            <w:gridSpan w:val="2"/>
          </w:tcPr>
          <w:p>
            <w:pPr>
              <w:jc w:val="center"/>
              <w:spacing w:after="0" w:line="142" w:lineRule="exact"/>
              <w:rPr>
                <w:sz w:val="20"/>
                <w:szCs w:val="20"/>
                <w:color w:val="auto"/>
              </w:rPr>
            </w:pPr>
            <w:r>
              <w:rPr>
                <w:rFonts w:ascii="Arial" w:cs="Arial" w:eastAsia="Arial" w:hAnsi="Arial"/>
                <w:sz w:val="10"/>
                <w:szCs w:val="10"/>
                <w:b w:val="1"/>
                <w:bCs w:val="1"/>
                <w:color w:val="auto"/>
              </w:rPr>
              <w:t xml:space="preserve">Vested </w:t>
            </w:r>
            <w:r>
              <w:rPr>
                <w:rFonts w:ascii="Arial" w:cs="Arial" w:eastAsia="Arial" w:hAnsi="Arial"/>
                <w:sz w:val="16"/>
                <w:szCs w:val="16"/>
                <w:b w:val="1"/>
                <w:bCs w:val="1"/>
                <w:color w:val="auto"/>
                <w:vertAlign w:val="superscript"/>
              </w:rPr>
              <w:t>(2)</w:t>
            </w:r>
          </w:p>
        </w:tc>
      </w:tr>
      <w:tr>
        <w:trPr>
          <w:trHeight w:val="164"/>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62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35"/>
              <w:spacing w:after="0"/>
              <w:rPr>
                <w:sz w:val="20"/>
                <w:szCs w:val="20"/>
                <w:color w:val="auto"/>
              </w:rPr>
            </w:pPr>
            <w:r>
              <w:rPr>
                <w:rFonts w:ascii="Arial" w:cs="Arial" w:eastAsia="Arial" w:hAnsi="Arial"/>
                <w:sz w:val="13"/>
                <w:szCs w:val="13"/>
                <w:b w:val="1"/>
                <w:bCs w:val="1"/>
                <w:color w:val="auto"/>
                <w:w w:val="87"/>
              </w:rPr>
              <w:t>($)</w:t>
            </w:r>
          </w:p>
        </w:tc>
      </w:tr>
      <w:tr>
        <w:trPr>
          <w:trHeight w:val="57"/>
        </w:trPr>
        <w:tc>
          <w:tcPr>
            <w:tcW w:w="1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63"/>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Vijay Kotte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6/6/2022</w:t>
            </w:r>
            <w:r>
              <w:rPr>
                <w:rFonts w:ascii="Arial" w:cs="Arial" w:eastAsia="Arial" w:hAnsi="Arial"/>
                <w:sz w:val="23"/>
                <w:szCs w:val="23"/>
                <w:color w:val="auto"/>
                <w:w w:val="95"/>
                <w:vertAlign w:val="superscript"/>
              </w:rPr>
              <w:t>(1)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188,888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6/6/2032</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70"/>
        </w:trPr>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6/7/2022</w:t>
            </w:r>
            <w:r>
              <w:rPr>
                <w:rFonts w:ascii="Arial" w:cs="Arial" w:eastAsia="Arial" w:hAnsi="Arial"/>
                <w:sz w:val="23"/>
                <w:szCs w:val="23"/>
                <w:color w:val="auto"/>
                <w:w w:val="95"/>
                <w:vertAlign w:val="superscript"/>
              </w:rPr>
              <w:t>(3)</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47,222</w:t>
            </w: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$493,470</w:t>
            </w:r>
          </w:p>
        </w:tc>
      </w:tr>
      <w:tr>
        <w:trPr>
          <w:trHeight w:val="263"/>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Jason Schulz</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6/6/2022</w:t>
            </w:r>
            <w:r>
              <w:rPr>
                <w:rFonts w:ascii="Arial" w:cs="Arial" w:eastAsia="Arial" w:hAnsi="Arial"/>
                <w:sz w:val="23"/>
                <w:szCs w:val="23"/>
                <w:color w:val="auto"/>
                <w:w w:val="95"/>
                <w:vertAlign w:val="superscript"/>
              </w:rPr>
              <w:t>(1)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66,666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6/6/2032</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70"/>
        </w:trPr>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6/7/2022</w:t>
            </w:r>
            <w:r>
              <w:rPr>
                <w:rFonts w:ascii="Arial" w:cs="Arial" w:eastAsia="Arial" w:hAnsi="Arial"/>
                <w:sz w:val="23"/>
                <w:szCs w:val="23"/>
                <w:color w:val="auto"/>
                <w:w w:val="95"/>
                <w:vertAlign w:val="superscript"/>
              </w:rPr>
              <w:t>(3)</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50,000</w:t>
            </w: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$522,500</w:t>
            </w:r>
          </w:p>
        </w:tc>
      </w:tr>
      <w:tr>
        <w:trPr>
          <w:trHeight w:val="263"/>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Shane Cruz</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4/25/2022</w:t>
            </w:r>
            <w:r>
              <w:rPr>
                <w:rFonts w:ascii="Arial" w:cs="Arial" w:eastAsia="Arial" w:hAnsi="Arial"/>
                <w:sz w:val="23"/>
                <w:szCs w:val="23"/>
                <w:color w:val="auto"/>
                <w:w w:val="86"/>
                <w:vertAlign w:val="superscript"/>
              </w:rPr>
              <w:t>(4)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114,285</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$1,194,278</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line="256" w:lineRule="exact"/>
              <w:rPr>
                <w:sz w:val="20"/>
                <w:szCs w:val="20"/>
                <w:color w:val="auto"/>
              </w:rPr>
            </w:pPr>
            <w:r>
              <w:rPr>
                <w:rFonts w:ascii="Arial" w:cs="Arial" w:eastAsia="Arial" w:hAnsi="Arial"/>
                <w:sz w:val="14"/>
                <w:szCs w:val="14"/>
                <w:color w:val="auto"/>
                <w:w w:val="86"/>
              </w:rPr>
              <w:t>6/16/2022</w:t>
            </w:r>
            <w:r>
              <w:rPr>
                <w:rFonts w:ascii="Arial" w:cs="Arial" w:eastAsia="Arial" w:hAnsi="Arial"/>
                <w:sz w:val="23"/>
                <w:szCs w:val="23"/>
                <w:color w:val="auto"/>
                <w:w w:val="86"/>
                <w:vertAlign w:val="superscript"/>
              </w:rPr>
              <w:t>(4)</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gridSpan w:val="2"/>
          </w:tcPr>
          <w:p>
            <w:pPr>
              <w:jc w:val="center"/>
              <w:ind w:left="90"/>
              <w:spacing w:after="0"/>
              <w:rPr>
                <w:sz w:val="20"/>
                <w:szCs w:val="20"/>
                <w:color w:val="auto"/>
              </w:rPr>
            </w:pPr>
            <w:r>
              <w:rPr>
                <w:rFonts w:ascii="Arial" w:cs="Arial" w:eastAsia="Arial" w:hAnsi="Arial"/>
                <w:sz w:val="14"/>
                <w:szCs w:val="14"/>
                <w:color w:val="auto"/>
                <w:w w:val="88"/>
              </w:rPr>
              <w:t>53,333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557,330</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1,724</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3,449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0"/>
              </w:rPr>
              <w:t>$222.15</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2/11/2031</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line="256" w:lineRule="exact"/>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(3)</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color w:val="auto"/>
              </w:rPr>
              <w:t>1,547</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16,166</w:t>
            </w:r>
          </w:p>
        </w:tc>
      </w:tr>
      <w:tr>
        <w:trPr>
          <w:trHeight w:val="256"/>
        </w:trPr>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43,117</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70"/>
        </w:trPr>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9/13/2019</w:t>
            </w:r>
            <w:r>
              <w:rPr>
                <w:rFonts w:ascii="Arial" w:cs="Arial" w:eastAsia="Arial" w:hAnsi="Arial"/>
                <w:sz w:val="23"/>
                <w:szCs w:val="23"/>
                <w:color w:val="auto"/>
                <w:w w:val="86"/>
                <w:vertAlign w:val="superscript"/>
              </w:rPr>
              <w:t>(5)</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11,102</w:t>
            </w: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116,016</w:t>
            </w: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r>
      <w:tr>
        <w:trPr>
          <w:trHeight w:val="263"/>
        </w:trPr>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Clinton Jones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6/6/2022</w:t>
            </w:r>
            <w:r>
              <w:rPr>
                <w:rFonts w:ascii="Arial" w:cs="Arial" w:eastAsia="Arial" w:hAnsi="Arial"/>
                <w:sz w:val="23"/>
                <w:szCs w:val="23"/>
                <w:color w:val="auto"/>
                <w:w w:val="95"/>
                <w:vertAlign w:val="superscript"/>
              </w:rPr>
              <w:t>(6)</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176,660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6/6/2032</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line="256" w:lineRule="exact"/>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(1)</w:t>
            </w:r>
          </w:p>
        </w:tc>
        <w:tc>
          <w:tcPr>
            <w:tcW w:w="1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2,508</w:t>
            </w:r>
          </w:p>
        </w:tc>
        <w:tc>
          <w:tcPr>
            <w:tcW w:w="140" w:type="dxa"/>
            <w:vAlign w:val="bottom"/>
          </w:tcPr>
          <w:p>
            <w:pPr>
              <w:spacing w:after="0"/>
              <w:rPr>
                <w:sz w:val="22"/>
                <w:szCs w:val="22"/>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color w:val="auto"/>
              </w:rPr>
              <w:t>5,017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w w:val="90"/>
              </w:rPr>
              <w:t>$222.15</w:t>
            </w:r>
          </w:p>
        </w:tc>
        <w:tc>
          <w:tcPr>
            <w:tcW w:w="1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2/11/2031</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6"/>
        </w:trPr>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62,721</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345"/>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6"/>
              </w:rPr>
              <w:t>2/11/2021</w:t>
            </w:r>
            <w:r>
              <w:rPr>
                <w:rFonts w:ascii="Arial" w:cs="Arial" w:eastAsia="Arial" w:hAnsi="Arial"/>
                <w:sz w:val="23"/>
                <w:szCs w:val="23"/>
                <w:color w:val="auto"/>
                <w:w w:val="86"/>
                <w:vertAlign w:val="superscript"/>
              </w:rPr>
              <w:t>(3)</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color w:val="auto"/>
              </w:rPr>
              <w:t>2,251</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-2430145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-2430145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-2430145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-2430145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-2430145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-2430145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-2430145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-2430145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-2430145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-2430145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822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6" w:lineRule="exact"/>
        <w:rPr>
          <w:sz w:val="20"/>
          <w:szCs w:val="20"/>
          <w:color w:val="auto"/>
        </w:rPr>
      </w:pPr>
    </w:p>
    <w:p>
      <w:pPr>
        <w:ind w:left="360" w:right="40" w:hanging="352"/>
        <w:spacing w:after="0" w:line="25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Stock options vest in three equal annual installments, except for Mr. Schulz’s grant of 66,666 and Mr. Kotte’s grant of 188,888, which both vest in four equal annual installments.</w:t>
      </w:r>
    </w:p>
    <w:p>
      <w:pPr>
        <w:spacing w:after="0" w:line="11" w:lineRule="exact"/>
        <w:rPr>
          <w:rFonts w:ascii="Arial" w:cs="Arial" w:eastAsia="Arial" w:hAnsi="Arial"/>
          <w:sz w:val="14"/>
          <w:szCs w:val="14"/>
          <w:color w:val="auto"/>
        </w:rPr>
      </w:pPr>
    </w:p>
    <w:p>
      <w:pPr>
        <w:ind w:left="360" w:right="360" w:hanging="352"/>
        <w:spacing w:after="0" w:line="25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Market value of stock units is determined by multiplying the number of units by the closing share price of $10.45 on December 30, 2022 (the last trading day of 2022).</w:t>
      </w:r>
    </w:p>
    <w:p>
      <w:pPr>
        <w:spacing w:after="0" w:line="11" w:lineRule="exact"/>
        <w:rPr>
          <w:rFonts w:ascii="Arial" w:cs="Arial" w:eastAsia="Arial" w:hAnsi="Arial"/>
          <w:sz w:val="14"/>
          <w:szCs w:val="14"/>
          <w:color w:val="auto"/>
        </w:rPr>
      </w:pPr>
    </w:p>
    <w:p>
      <w:pPr>
        <w:ind w:left="360" w:right="100" w:hanging="352"/>
        <w:spacing w:after="0" w:line="23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outstanding performance-based RSUs that remain unvested as of December 31, 2022. For Messrs. Jones and Cruz, performance-based RSUs vest after a three-year period based upon our TSR performance relative to our peer group. The number of stock units is shown at the threshold achievement. For Messrs. Kotte and Schulz, performance-based RSUs vest after a three-year period based upon our VWAP over such three-year period. The number of stock units is shown at threshold achievement.</w:t>
      </w:r>
    </w:p>
    <w:p>
      <w:pPr>
        <w:spacing w:after="0" w:line="22" w:lineRule="exact"/>
        <w:rPr>
          <w:rFonts w:ascii="Arial" w:cs="Arial" w:eastAsia="Arial" w:hAnsi="Arial"/>
          <w:sz w:val="14"/>
          <w:szCs w:val="14"/>
          <w:color w:val="auto"/>
        </w:rPr>
      </w:pPr>
    </w:p>
    <w:p>
      <w:pPr>
        <w:ind w:left="360" w:right="40" w:hanging="352"/>
        <w:spacing w:after="0" w:line="238"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outstanding time-based RSUs that remain unvested as of December 31, 2022. Time-based RSUs vest in three equal annual installments on the anniversary of the grant date, except for Mr. Cruz’s grant of 53,333 RSUs on June 14, 2022, which vests in three equal annual installments beginning on April 25, 2023.</w:t>
      </w:r>
    </w:p>
    <w:p>
      <w:pPr>
        <w:spacing w:after="0" w:line="20" w:lineRule="exact"/>
        <w:rPr>
          <w:rFonts w:ascii="Arial" w:cs="Arial" w:eastAsia="Arial" w:hAnsi="Arial"/>
          <w:sz w:val="14"/>
          <w:szCs w:val="14"/>
          <w:color w:val="auto"/>
        </w:rPr>
      </w:pPr>
    </w:p>
    <w:p>
      <w:pPr>
        <w:ind w:left="360" w:right="240" w:hanging="352"/>
        <w:spacing w:after="0" w:line="25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service units granted prior to the Company becoming public in 2020. These service units vest over a 5 year period beginning September 2020, subject to the NEO’s continuous employment through the vesting date, subject to acceleration for certain events.</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a Stock Appreciation Right granted to Mr. Jones which vests three years after grant and will be settled in cash.</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w:t>
      </w:r>
    </w:p>
    <w:p>
      <w:pPr>
        <w:spacing w:after="0" w:line="117"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The severance rights of each NEO are provided in their applicable employment arrangement. Please see the above Employment Agreement summaries for the applicable information.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2022 Director Compensation</w:t>
      </w:r>
    </w:p>
    <w:p>
      <w:pPr>
        <w:spacing w:after="0" w:line="121" w:lineRule="exact"/>
        <w:rPr>
          <w:sz w:val="20"/>
          <w:szCs w:val="20"/>
          <w:color w:val="auto"/>
        </w:rPr>
      </w:pPr>
    </w:p>
    <w:p>
      <w:pPr>
        <w:ind w:left="340" w:right="400"/>
        <w:spacing w:after="0" w:line="271" w:lineRule="auto"/>
        <w:rPr>
          <w:sz w:val="20"/>
          <w:szCs w:val="20"/>
          <w:color w:val="auto"/>
        </w:rPr>
      </w:pPr>
      <w:r>
        <w:rPr>
          <w:rFonts w:ascii="Arial" w:cs="Arial" w:eastAsia="Arial" w:hAnsi="Arial"/>
          <w:sz w:val="17"/>
          <w:szCs w:val="17"/>
          <w:color w:val="auto"/>
        </w:rPr>
        <w:t>Each non-employee director receives an annual cash retainer of $150,000. In addition, each such non-employee director who does not serve as a chairperson or co-chairperson of the Board or a committee of the board of directors or as the lead director of the Board (each, a “Non-Chair Director”) receives an annual RSU award with a grant date value of $150,000 and each such non-employee director who serves as a chairperson or co-chairperson of the Board or a committee of the Board or as the lead director of the board of directors (each, a “Chair Director”) receives an annual RSU award with a value of $250,000, with all such restricted stock unit awards vesting in four equal installments on each of the first four quarterly anniversaries following the grant date of the award (or immediately prior to the date of the annual stockholder meeting immediately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following the date of grant, if sooner), subject to such non-employee director continuing in service through such date (and any such non-employee director who commences service on a date other than the date of the annual stockholder meeting receives a pro-rata RSU award for such initial year of service). The vesting of all RSU awards under the policy will accelerate and vest in full upon a change in control (as defined in the Plan). In addition, each non-employee director will be reimbursed for out-of-pocket expenses in connection with his or her services. No additional compensation is provided to directors employed by the Company or the Centerbridge employed directors.</w:t>
      </w:r>
    </w:p>
    <w:p>
      <w:pPr>
        <w:spacing w:after="0" w:line="56" w:lineRule="exact"/>
        <w:rPr>
          <w:sz w:val="20"/>
          <w:szCs w:val="20"/>
          <w:color w:val="auto"/>
        </w:rPr>
      </w:pPr>
    </w:p>
    <w:p>
      <w:pPr>
        <w:ind w:left="300" w:right="399"/>
        <w:spacing w:after="0" w:line="275" w:lineRule="auto"/>
        <w:rPr>
          <w:sz w:val="20"/>
          <w:szCs w:val="20"/>
          <w:color w:val="auto"/>
        </w:rPr>
      </w:pPr>
      <w:r>
        <w:rPr>
          <w:rFonts w:ascii="Arial" w:cs="Arial" w:eastAsia="Arial" w:hAnsi="Arial"/>
          <w:sz w:val="17"/>
          <w:szCs w:val="17"/>
          <w:color w:val="auto"/>
        </w:rPr>
        <w:t>On December 22, 2020, we adopted and implemented a deferred compensation plan for our directors, under which our directors may elect to defer the receipt of their RSU awards until the earliest of (i) the five-year anniversary of the date of grant of the award, (ii) a change in control, as defined in the 2020 Plan, and (iii) the director’s separation from service. Deferred RSUs are subject to the same vesting and forfeiture restrictions. In 2022, Dr. Gayle and Ms. Pramoda participated in such deferred compensation plan.</w:t>
      </w:r>
    </w:p>
    <w:p>
      <w:pPr>
        <w:spacing w:after="0" w:line="68"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following table sets forth information concerning the compensation received by our directors for the year ended December 31, 2022.</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2022 Director Compensation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Fees earned or</w:t>
            </w:r>
          </w:p>
        </w:tc>
        <w:tc>
          <w:tcPr>
            <w:tcW w:w="28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3"/>
            <w:vMerge w:val="continue"/>
          </w:tcPr>
          <w:p>
            <w:pPr>
              <w:spacing w:after="0"/>
              <w:rPr>
                <w:sz w:val="13"/>
                <w:szCs w:val="13"/>
                <w:color w:val="auto"/>
              </w:rPr>
            </w:pPr>
          </w:p>
        </w:tc>
        <w:tc>
          <w:tcPr>
            <w:tcW w:w="980" w:type="dxa"/>
            <w:vAlign w:val="bottom"/>
            <w:gridSpan w:val="2"/>
          </w:tcPr>
          <w:p>
            <w:pPr>
              <w:ind w:left="16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20" w:type="dxa"/>
            <w:vAlign w:val="bottom"/>
            <w:gridSpan w:val="2"/>
            <w:vMerge w:val="continue"/>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in cash ($)</w:t>
            </w:r>
          </w:p>
        </w:tc>
        <w:tc>
          <w:tcPr>
            <w:tcW w:w="280" w:type="dxa"/>
            <w:vAlign w:val="bottom"/>
          </w:tcPr>
          <w:p>
            <w:pPr>
              <w:spacing w:after="0"/>
              <w:rPr>
                <w:sz w:val="16"/>
                <w:szCs w:val="16"/>
                <w:color w:val="auto"/>
              </w:rPr>
            </w:pPr>
          </w:p>
        </w:tc>
        <w:tc>
          <w:tcPr>
            <w:tcW w:w="70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9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2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Brandon Cruz</w:t>
            </w:r>
            <w:r>
              <w:rPr>
                <w:rFonts w:ascii="Arial" w:cs="Arial" w:eastAsia="Arial" w:hAnsi="Arial"/>
                <w:sz w:val="29"/>
                <w:szCs w:val="29"/>
                <w:color w:val="auto"/>
                <w:vertAlign w:val="superscript"/>
              </w:rPr>
              <w:t>(2)</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$159,615</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$159,615</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8"/>
                <w:szCs w:val="18"/>
                <w:color w:val="auto"/>
              </w:rPr>
              <w:t>David Fisher</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$ 53,077</w:t>
            </w:r>
          </w:p>
        </w:tc>
        <w:tc>
          <w:tcPr>
            <w:tcW w:w="280" w:type="dxa"/>
            <w:vAlign w:val="bottom"/>
          </w:tcPr>
          <w:p>
            <w:pPr>
              <w:spacing w:after="0"/>
              <w:rPr>
                <w:sz w:val="23"/>
                <w:szCs w:val="23"/>
                <w:color w:val="auto"/>
              </w:rPr>
            </w:pPr>
          </w:p>
        </w:tc>
        <w:tc>
          <w:tcPr>
            <w:tcW w:w="980" w:type="dxa"/>
            <w:vAlign w:val="bottom"/>
            <w:gridSpan w:val="2"/>
          </w:tcPr>
          <w:p>
            <w:pPr>
              <w:jc w:val="right"/>
              <w:ind w:right="74"/>
              <w:spacing w:after="0"/>
              <w:rPr>
                <w:sz w:val="20"/>
                <w:szCs w:val="20"/>
                <w:color w:val="auto"/>
              </w:rPr>
            </w:pPr>
            <w:r>
              <w:rPr>
                <w:rFonts w:ascii="Arial" w:cs="Arial" w:eastAsia="Arial" w:hAnsi="Arial"/>
                <w:sz w:val="18"/>
                <w:szCs w:val="18"/>
                <w:color w:val="auto"/>
              </w:rPr>
              <w:t>$248,766</w:t>
            </w:r>
          </w:p>
        </w:tc>
        <w:tc>
          <w:tcPr>
            <w:tcW w:w="960" w:type="dxa"/>
            <w:vAlign w:val="bottom"/>
            <w:gridSpan w:val="3"/>
          </w:tcPr>
          <w:p>
            <w:pPr>
              <w:ind w:left="260"/>
              <w:spacing w:after="0"/>
              <w:rPr>
                <w:sz w:val="20"/>
                <w:szCs w:val="20"/>
                <w:color w:val="auto"/>
              </w:rPr>
            </w:pPr>
            <w:r>
              <w:rPr>
                <w:rFonts w:ascii="Arial" w:cs="Arial" w:eastAsia="Arial" w:hAnsi="Arial"/>
                <w:sz w:val="18"/>
                <w:szCs w:val="18"/>
                <w:color w:val="auto"/>
                <w:w w:val="90"/>
              </w:rPr>
              <w:t>$301,843</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Joseph G. Flanagan</w:t>
            </w:r>
          </w:p>
        </w:tc>
        <w:tc>
          <w:tcPr>
            <w:tcW w:w="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$150,000</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$248,766</w:t>
            </w:r>
          </w:p>
        </w:tc>
        <w:tc>
          <w:tcPr>
            <w:tcW w:w="9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0"/>
              </w:rPr>
              <w:t>$398,766</w:t>
            </w: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line="324" w:lineRule="exact"/>
              <w:rPr>
                <w:sz w:val="20"/>
                <w:szCs w:val="20"/>
                <w:color w:val="auto"/>
              </w:rPr>
            </w:pPr>
            <w:r>
              <w:rPr>
                <w:rFonts w:ascii="Arial" w:cs="Arial" w:eastAsia="Arial" w:hAnsi="Arial"/>
                <w:sz w:val="18"/>
                <w:szCs w:val="18"/>
                <w:color w:val="auto"/>
              </w:rPr>
              <w:t>Dr. Helene D. Gayle</w:t>
            </w:r>
            <w:r>
              <w:rPr>
                <w:rFonts w:ascii="Arial" w:cs="Arial" w:eastAsia="Arial" w:hAnsi="Arial"/>
                <w:sz w:val="29"/>
                <w:szCs w:val="29"/>
                <w:color w:val="auto"/>
                <w:vertAlign w:val="superscript"/>
              </w:rPr>
              <w:t>(3)</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$ 97,500</w:t>
            </w:r>
          </w:p>
        </w:tc>
        <w:tc>
          <w:tcPr>
            <w:tcW w:w="28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97,500</w:t>
            </w:r>
          </w:p>
        </w:tc>
        <w:tc>
          <w:tcPr>
            <w:tcW w:w="0" w:type="dxa"/>
            <w:vAlign w:val="bottom"/>
          </w:tcPr>
          <w:p>
            <w:pPr>
              <w:spacing w:after="0"/>
              <w:rPr>
                <w:sz w:val="1"/>
                <w:szCs w:val="1"/>
                <w:color w:val="auto"/>
              </w:rPr>
            </w:pPr>
          </w:p>
        </w:tc>
      </w:tr>
      <w:tr>
        <w:trPr>
          <w:trHeight w:val="324"/>
        </w:trPr>
        <w:tc>
          <w:tcPr>
            <w:tcW w:w="52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Jeremy W. Gelber</w:t>
            </w:r>
            <w:r>
              <w:rPr>
                <w:rFonts w:ascii="Arial" w:cs="Arial" w:eastAsia="Arial" w:hAnsi="Arial"/>
                <w:sz w:val="29"/>
                <w:szCs w:val="29"/>
                <w:color w:val="auto"/>
                <w:vertAlign w:val="superscript"/>
              </w:rPr>
              <w:t>(4)</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line="324" w:lineRule="exact"/>
              <w:rPr>
                <w:sz w:val="20"/>
                <w:szCs w:val="20"/>
                <w:color w:val="auto"/>
              </w:rPr>
            </w:pPr>
            <w:r>
              <w:rPr>
                <w:rFonts w:ascii="Arial" w:cs="Arial" w:eastAsia="Arial" w:hAnsi="Arial"/>
                <w:sz w:val="18"/>
                <w:szCs w:val="18"/>
                <w:color w:val="auto"/>
              </w:rPr>
              <w:t>Clinton P. Jones</w:t>
            </w:r>
            <w:r>
              <w:rPr>
                <w:rFonts w:ascii="Arial" w:cs="Arial" w:eastAsia="Arial" w:hAnsi="Arial"/>
                <w:sz w:val="29"/>
                <w:szCs w:val="29"/>
                <w:color w:val="auto"/>
                <w:vertAlign w:val="superscript"/>
              </w:rPr>
              <w:t>(5)</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Vijay Kotte</w:t>
            </w:r>
            <w:r>
              <w:rPr>
                <w:rFonts w:ascii="Arial" w:cs="Arial" w:eastAsia="Arial" w:hAnsi="Arial"/>
                <w:sz w:val="29"/>
                <w:szCs w:val="29"/>
                <w:color w:val="auto"/>
                <w:vertAlign w:val="superscript"/>
              </w:rPr>
              <w:t>(6)</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line="324" w:lineRule="exact"/>
              <w:rPr>
                <w:sz w:val="20"/>
                <w:szCs w:val="20"/>
                <w:color w:val="auto"/>
              </w:rPr>
            </w:pPr>
            <w:r>
              <w:rPr>
                <w:rFonts w:ascii="Arial" w:cs="Arial" w:eastAsia="Arial" w:hAnsi="Arial"/>
                <w:sz w:val="18"/>
                <w:szCs w:val="18"/>
                <w:color w:val="auto"/>
              </w:rPr>
              <w:t>Christopher Litchford</w:t>
            </w:r>
            <w:r>
              <w:rPr>
                <w:rFonts w:ascii="Arial" w:cs="Arial" w:eastAsia="Arial" w:hAnsi="Arial"/>
                <w:sz w:val="29"/>
                <w:szCs w:val="29"/>
                <w:color w:val="auto"/>
                <w:vertAlign w:val="superscript"/>
              </w:rPr>
              <w:t>(4)</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Anita Pramoda</w:t>
            </w:r>
            <w:r>
              <w:rPr>
                <w:rFonts w:ascii="Arial" w:cs="Arial" w:eastAsia="Arial" w:hAnsi="Arial"/>
                <w:sz w:val="29"/>
                <w:szCs w:val="29"/>
                <w:color w:val="auto"/>
                <w:vertAlign w:val="superscript"/>
              </w:rPr>
              <w:t>(7)</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$ 76,731</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76,731</w:t>
            </w: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line="324" w:lineRule="exact"/>
              <w:rPr>
                <w:sz w:val="20"/>
                <w:szCs w:val="20"/>
                <w:color w:val="auto"/>
              </w:rPr>
            </w:pPr>
            <w:r>
              <w:rPr>
                <w:rFonts w:ascii="Arial" w:cs="Arial" w:eastAsia="Arial" w:hAnsi="Arial"/>
                <w:sz w:val="18"/>
                <w:szCs w:val="18"/>
                <w:color w:val="auto"/>
              </w:rPr>
              <w:t>Miriam A. Tawil</w:t>
            </w:r>
            <w:r>
              <w:rPr>
                <w:rFonts w:ascii="Arial" w:cs="Arial" w:eastAsia="Arial" w:hAnsi="Arial"/>
                <w:sz w:val="29"/>
                <w:szCs w:val="29"/>
                <w:color w:val="auto"/>
                <w:vertAlign w:val="superscript"/>
              </w:rPr>
              <w:t>(4)(8)</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$149,256</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$299,256</w:t>
            </w:r>
          </w:p>
        </w:tc>
        <w:tc>
          <w:tcPr>
            <w:tcW w:w="0" w:type="dxa"/>
            <w:vAlign w:val="bottom"/>
          </w:tcPr>
          <w:p>
            <w:pPr>
              <w:spacing w:after="0"/>
              <w:rPr>
                <w:sz w:val="1"/>
                <w:szCs w:val="1"/>
                <w:color w:val="auto"/>
              </w:rPr>
            </w:pPr>
          </w:p>
        </w:tc>
      </w:tr>
      <w:tr>
        <w:trPr>
          <w:trHeight w:val="54"/>
        </w:trPr>
        <w:tc>
          <w:tcPr>
            <w:tcW w:w="49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-2279650</wp:posOffset>
            </wp:positionV>
            <wp:extent cx="171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-2279650</wp:posOffset>
            </wp:positionV>
            <wp:extent cx="171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-2279650</wp:posOffset>
            </wp:positionV>
            <wp:extent cx="171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379" w:hanging="348"/>
        <w:spacing w:after="0" w:line="264"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reflect the grant-date fair value of the RSU awards during the year ended December 31, 2022 computed in accordance with ASC Topic 718. Directors were provided an annual grant on May 24, 2022 which vests in four equal quarterly installments. As of December 31, 2022, the non-employee Directors had the following number of RSUs unvested: Fisher - 12,255, Flanagan - 12,255, Timm - 7,353.</w:t>
      </w:r>
    </w:p>
    <w:p>
      <w:pPr>
        <w:spacing w:after="0" w:line="6" w:lineRule="exact"/>
        <w:rPr>
          <w:rFonts w:ascii="Arial" w:cs="Arial" w:eastAsia="Arial" w:hAnsi="Arial"/>
          <w:sz w:val="13"/>
          <w:szCs w:val="13"/>
          <w:color w:val="auto"/>
        </w:rPr>
      </w:pPr>
    </w:p>
    <w:p>
      <w:pPr>
        <w:ind w:left="640" w:right="51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Effective June 6, 2022, Mr. Cruz transitioned from Chief Strategy Officer and Co-Chairman of the Board to solely Co-Chairman of the Board. His compensation was adjusted at such time to $500,000 per annum. The compensation listed here is solely relating to his role as Co-Chairman of the Board.</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Gayle resigned as a director of the Company on May 25,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Centerbridge director nominees, Mr. Gelber, Ms. Tawil and Mr. Litchford do not receive any compensation for their Board service.</w:t>
      </w:r>
    </w:p>
    <w:p>
      <w:pPr>
        <w:spacing w:after="0" w:line="53" w:lineRule="exact"/>
        <w:rPr>
          <w:rFonts w:ascii="Arial" w:cs="Arial" w:eastAsia="Arial" w:hAnsi="Arial"/>
          <w:sz w:val="13"/>
          <w:szCs w:val="13"/>
          <w:color w:val="auto"/>
        </w:rPr>
      </w:pPr>
    </w:p>
    <w:p>
      <w:pPr>
        <w:ind w:left="640" w:right="639" w:hanging="348"/>
        <w:spacing w:after="0" w:line="281"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Effective June 6, 2022, Mr. Jones transitioned from CEO to Co-Chairman of the Board to Executive Co-Chairman of the Board. As an employee of the Company until December 31, 2022, Mr. Jones received no additional compensation for his Board service.</w:t>
      </w:r>
    </w:p>
    <w:p>
      <w:pPr>
        <w:ind w:left="640" w:right="859" w:hanging="348"/>
        <w:spacing w:after="0" w:line="25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Kotte was appointed to the Board as a director when he was hired to serve as the CEO of the Company on June 3, 2022. As an employee of the Company, Mr. Kotte receives no additional compensation for his Board service.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Pramoda resigned as a director of the Company on April 5,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Tawil resigned as a director of the Company on September 11,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ind w:left="300" w:right="759"/>
        <w:spacing w:after="0" w:line="286" w:lineRule="auto"/>
        <w:rPr>
          <w:sz w:val="20"/>
          <w:szCs w:val="20"/>
          <w:color w:val="auto"/>
        </w:rPr>
      </w:pPr>
      <w:r>
        <w:rPr>
          <w:rFonts w:ascii="Arial" w:cs="Arial" w:eastAsia="Arial" w:hAnsi="Arial"/>
          <w:sz w:val="17"/>
          <w:szCs w:val="17"/>
          <w:color w:val="auto"/>
        </w:rPr>
        <w:t>In accordance with rules adopted by the SEC pursuant to the Dodd-Frank Wall Street Reform and Consumer Protection Act of 2010, we provide the following disclosure regarding executive “compensation actually paid” (“CAP”) and certain Company performance for the fiscal years listed below.</w:t>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 Versus Performance: Graphical Description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Summary</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Summary</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Actually</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Compensation</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Compensation</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Compensation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Paid to</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80" w:type="dxa"/>
            <w:vAlign w:val="bottom"/>
            <w:vMerge w:val="restart"/>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Table Total for</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Actually Paid to</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Table Total for</w:t>
            </w:r>
          </w:p>
        </w:tc>
        <w:tc>
          <w:tcPr>
            <w:tcW w:w="8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Kotte</w:t>
            </w:r>
            <w:r>
              <w:rPr>
                <w:rFonts w:ascii="Arial" w:cs="Arial" w:eastAsia="Arial" w:hAnsi="Arial"/>
                <w:sz w:val="9"/>
                <w:szCs w:val="9"/>
                <w:b w:val="1"/>
                <w:bCs w:val="1"/>
                <w:color w:val="auto"/>
              </w:rPr>
              <w:t>(1)(2)(3)(4)</w:t>
            </w: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79"/>
              </w:rPr>
              <w:t>Jones</w:t>
            </w:r>
            <w:r>
              <w:rPr>
                <w:rFonts w:ascii="Arial" w:cs="Arial" w:eastAsia="Arial" w:hAnsi="Arial"/>
                <w:sz w:val="22"/>
                <w:szCs w:val="22"/>
                <w:b w:val="1"/>
                <w:bCs w:val="1"/>
                <w:color w:val="auto"/>
                <w:w w:val="79"/>
                <w:vertAlign w:val="superscript"/>
              </w:rPr>
              <w:t>(1)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84"/>
                <w:vertAlign w:val="subscript"/>
              </w:rPr>
              <w:t>Jones</w:t>
            </w:r>
            <w:r>
              <w:rPr>
                <w:rFonts w:ascii="Arial" w:cs="Arial" w:eastAsia="Arial" w:hAnsi="Arial"/>
                <w:sz w:val="11"/>
                <w:szCs w:val="11"/>
                <w:b w:val="1"/>
                <w:bCs w:val="1"/>
                <w:color w:val="auto"/>
                <w:w w:val="84"/>
              </w:rPr>
              <w:t>(1)(2)(3)(4)(5)</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89"/>
              </w:rPr>
              <w:t>Kotte</w:t>
            </w:r>
            <w:r>
              <w:rPr>
                <w:rFonts w:ascii="Arial" w:cs="Arial" w:eastAsia="Arial" w:hAnsi="Arial"/>
                <w:sz w:val="22"/>
                <w:szCs w:val="22"/>
                <w:b w:val="1"/>
                <w:bCs w:val="1"/>
                <w:color w:val="auto"/>
                <w:w w:val="89"/>
                <w:vertAlign w:val="superscript"/>
              </w:rPr>
              <w:t>(1)</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(5)</w:t>
            </w:r>
          </w:p>
        </w:tc>
        <w:tc>
          <w:tcPr>
            <w:tcW w:w="0" w:type="dxa"/>
            <w:vAlign w:val="bottom"/>
          </w:tcPr>
          <w:p>
            <w:pPr>
              <w:spacing w:after="0"/>
              <w:rPr>
                <w:sz w:val="1"/>
                <w:szCs w:val="1"/>
                <w:color w:val="auto"/>
              </w:rPr>
            </w:pPr>
          </w:p>
        </w:tc>
      </w:tr>
      <w:tr>
        <w:trPr>
          <w:trHeight w:val="223"/>
        </w:trPr>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(b)</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Value of</w:t>
            </w:r>
          </w:p>
        </w:tc>
        <w:tc>
          <w:tcPr>
            <w:tcW w:w="780" w:type="dxa"/>
            <w:vAlign w:val="bottom"/>
          </w:tcPr>
          <w:p>
            <w:pPr>
              <w:spacing w:after="0"/>
              <w:rPr>
                <w:sz w:val="13"/>
                <w:szCs w:val="13"/>
                <w:color w:val="auto"/>
              </w:rPr>
            </w:pPr>
          </w:p>
        </w:tc>
      </w:tr>
      <w:tr>
        <w:trPr>
          <w:trHeight w:val="148"/>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Initial Fixed</w:t>
            </w:r>
          </w:p>
        </w:tc>
        <w:tc>
          <w:tcPr>
            <w:tcW w:w="780" w:type="dxa"/>
            <w:vAlign w:val="bottom"/>
          </w:tcPr>
          <w:p>
            <w:pPr>
              <w:spacing w:after="0"/>
              <w:rPr>
                <w:sz w:val="12"/>
                <w:szCs w:val="12"/>
                <w:color w:val="auto"/>
              </w:rPr>
            </w:pPr>
          </w:p>
        </w:tc>
      </w:tr>
      <w:tr>
        <w:trPr>
          <w:trHeight w:val="149"/>
        </w:trPr>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$100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Summary</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Investment</w:t>
            </w:r>
          </w:p>
        </w:tc>
        <w:tc>
          <w:tcPr>
            <w:tcW w:w="780" w:type="dxa"/>
            <w:vAlign w:val="bottom"/>
          </w:tcPr>
          <w:p>
            <w:pPr>
              <w:spacing w:after="0"/>
              <w:rPr>
                <w:sz w:val="12"/>
                <w:szCs w:val="12"/>
                <w:color w:val="auto"/>
              </w:rPr>
            </w:pPr>
          </w:p>
        </w:tc>
      </w:tr>
      <w:tr>
        <w:trPr>
          <w:trHeight w:val="148"/>
        </w:trPr>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Compensation</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Compensation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Based On</w:t>
            </w:r>
          </w:p>
        </w:tc>
        <w:tc>
          <w:tcPr>
            <w:tcW w:w="780" w:type="dxa"/>
            <w:vAlign w:val="bottom"/>
          </w:tcPr>
          <w:p>
            <w:pPr>
              <w:spacing w:after="0"/>
              <w:rPr>
                <w:sz w:val="12"/>
                <w:szCs w:val="12"/>
                <w:color w:val="auto"/>
              </w:rPr>
            </w:pPr>
          </w:p>
        </w:tc>
      </w:tr>
      <w:tr>
        <w:trPr>
          <w:trHeight w:val="148"/>
        </w:trPr>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Table Total for</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Actually Paid to</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r>
      <w:tr>
        <w:trPr>
          <w:trHeight w:val="134"/>
        </w:trPr>
        <w:tc>
          <w:tcPr>
            <w:tcW w:w="96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rPr>
              <w:t>Non-CEO</w:t>
            </w:r>
          </w:p>
        </w:tc>
        <w:tc>
          <w:tcPr>
            <w:tcW w:w="11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rPr>
              <w:t>Non-CEO</w:t>
            </w:r>
          </w:p>
        </w:tc>
        <w:tc>
          <w:tcPr>
            <w:tcW w:w="8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4"/>
              </w:rPr>
              <w:t>Shareholder</w:t>
            </w: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2"/>
              </w:rPr>
              <w:t>Income</w:t>
            </w:r>
          </w:p>
        </w:tc>
      </w:tr>
      <w:tr>
        <w:trPr>
          <w:trHeight w:val="243"/>
        </w:trPr>
        <w:tc>
          <w:tcPr>
            <w:tcW w:w="8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6"/>
                <w:szCs w:val="26"/>
                <w:b w:val="1"/>
                <w:bCs w:val="1"/>
                <w:color w:val="auto"/>
                <w:w w:val="80"/>
                <w:vertAlign w:val="subscript"/>
              </w:rPr>
              <w:t>NEOs</w:t>
            </w:r>
            <w:r>
              <w:rPr>
                <w:rFonts w:ascii="Arial" w:cs="Arial" w:eastAsia="Arial" w:hAnsi="Arial"/>
                <w:sz w:val="11"/>
                <w:szCs w:val="11"/>
                <w:b w:val="1"/>
                <w:bCs w:val="1"/>
                <w:color w:val="auto"/>
                <w:w w:val="80"/>
              </w:rPr>
              <w:t>(4)(6)</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6"/>
                <w:szCs w:val="26"/>
                <w:b w:val="1"/>
                <w:bCs w:val="1"/>
                <w:color w:val="auto"/>
                <w:w w:val="87"/>
                <w:vertAlign w:val="subscript"/>
              </w:rPr>
              <w:t>NEOs</w:t>
            </w:r>
            <w:r>
              <w:rPr>
                <w:rFonts w:ascii="Arial" w:cs="Arial" w:eastAsia="Arial" w:hAnsi="Arial"/>
                <w:sz w:val="11"/>
                <w:szCs w:val="11"/>
                <w:b w:val="1"/>
                <w:bCs w:val="1"/>
                <w:color w:val="auto"/>
                <w:w w:val="87"/>
              </w:rPr>
              <w:t>(2)(3)(4)(5)(6)</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3"/>
                <w:szCs w:val="13"/>
                <w:b w:val="1"/>
                <w:bCs w:val="1"/>
                <w:color w:val="auto"/>
                <w:w w:val="93"/>
              </w:rPr>
              <w:t>Return</w:t>
            </w:r>
            <w:r>
              <w:rPr>
                <w:rFonts w:ascii="Arial" w:cs="Arial" w:eastAsia="Arial" w:hAnsi="Arial"/>
                <w:sz w:val="22"/>
                <w:szCs w:val="22"/>
                <w:b w:val="1"/>
                <w:bCs w:val="1"/>
                <w:color w:val="auto"/>
                <w:w w:val="93"/>
                <w:vertAlign w:val="superscript"/>
              </w:rPr>
              <w:t>(7)</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 millions)</w:t>
            </w:r>
          </w:p>
        </w:tc>
      </w:tr>
      <w:tr>
        <w:trPr>
          <w:trHeight w:val="223"/>
        </w:trPr>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(g)</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(i)</w:t>
            </w:r>
          </w:p>
        </w:tc>
      </w:tr>
    </w:tbl>
    <w:p>
      <w:pPr>
        <w:spacing w:after="0" w:line="55" w:lineRule="exact"/>
        <w:rPr>
          <w:sz w:val="20"/>
          <w:szCs w:val="20"/>
          <w:color w:val="auto"/>
        </w:rPr>
      </w:pPr>
    </w:p>
    <w:p>
      <w:pPr>
        <w:sectPr>
          <w:pgSz w:w="11900" w:h="16838" w:orient="portrait"/>
          <w:cols w:equalWidth="0" w:num="2">
            <w:col w:w="4920" w:space="120"/>
            <w:col w:w="397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318"/>
        </w:trPr>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2022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$2,659,957</w:t>
            </w:r>
          </w:p>
        </w:tc>
        <w:tc>
          <w:tcPr>
            <w:tcW w:w="1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323,579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$9,206,399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$8,450,786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$3,769,344</w:t>
            </w:r>
          </w:p>
        </w:tc>
        <w:tc>
          <w:tcPr>
            <w:tcW w:w="1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$2,569,039</w:t>
            </w:r>
          </w:p>
        </w:tc>
        <w:tc>
          <w:tcPr>
            <w:tcW w:w="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$ 5.10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r>
      <w:tr>
        <w:trPr>
          <w:trHeight w:val="270"/>
        </w:trPr>
        <w:tc>
          <w:tcPr>
            <w:tcW w:w="520" w:type="dxa"/>
            <w:vAlign w:val="bottom"/>
          </w:tcPr>
          <w:p>
            <w:pPr>
              <w:jc w:val="right"/>
              <w:ind w:right="70"/>
              <w:spacing w:after="0"/>
              <w:rPr>
                <w:sz w:val="20"/>
                <w:szCs w:val="20"/>
                <w:color w:val="auto"/>
              </w:rPr>
            </w:pPr>
            <w:r>
              <w:rPr>
                <w:rFonts w:ascii="Arial" w:cs="Arial" w:eastAsia="Arial" w:hAnsi="Arial"/>
                <w:sz w:val="18"/>
                <w:szCs w:val="18"/>
                <w:color w:val="auto"/>
                <w:w w:val="84"/>
              </w:rPr>
              <w:t>2021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$4,930,844</w:t>
            </w:r>
          </w:p>
        </w:tc>
        <w:tc>
          <w:tcPr>
            <w:tcW w:w="1120" w:type="dxa"/>
            <w:vAlign w:val="bottom"/>
          </w:tcPr>
          <w:p>
            <w:pPr>
              <w:ind w:left="120"/>
              <w:spacing w:after="0"/>
              <w:rPr>
                <w:sz w:val="20"/>
                <w:szCs w:val="20"/>
                <w:color w:val="auto"/>
              </w:rPr>
            </w:pPr>
            <w:r>
              <w:rPr>
                <w:rFonts w:ascii="Arial" w:cs="Arial" w:eastAsia="Arial" w:hAnsi="Arial"/>
                <w:sz w:val="18"/>
                <w:szCs w:val="18"/>
                <w:color w:val="auto"/>
                <w:w w:val="95"/>
              </w:rPr>
              <w:t>($6,486,965)</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$4,042,886</w:t>
            </w:r>
          </w:p>
        </w:tc>
        <w:tc>
          <w:tcPr>
            <w:tcW w:w="1140" w:type="dxa"/>
            <w:vAlign w:val="bottom"/>
          </w:tcPr>
          <w:p>
            <w:pPr>
              <w:ind w:left="100"/>
              <w:spacing w:after="0"/>
              <w:rPr>
                <w:sz w:val="20"/>
                <w:szCs w:val="20"/>
                <w:color w:val="auto"/>
              </w:rPr>
            </w:pPr>
            <w:r>
              <w:rPr>
                <w:rFonts w:ascii="Arial" w:cs="Arial" w:eastAsia="Arial" w:hAnsi="Arial"/>
                <w:sz w:val="18"/>
                <w:szCs w:val="18"/>
                <w:color w:val="auto"/>
                <w:w w:val="99"/>
              </w:rPr>
              <w:t>($1,688,280)</w:t>
            </w:r>
          </w:p>
        </w:tc>
        <w:tc>
          <w:tcPr>
            <w:tcW w:w="740" w:type="dxa"/>
            <w:vAlign w:val="bottom"/>
          </w:tcPr>
          <w:p>
            <w:pPr>
              <w:ind w:left="120"/>
              <w:spacing w:after="0"/>
              <w:rPr>
                <w:sz w:val="20"/>
                <w:szCs w:val="20"/>
                <w:color w:val="auto"/>
              </w:rPr>
            </w:pPr>
            <w:r>
              <w:rPr>
                <w:rFonts w:ascii="Arial" w:cs="Arial" w:eastAsia="Arial" w:hAnsi="Arial"/>
                <w:sz w:val="18"/>
                <w:szCs w:val="18"/>
                <w:color w:val="auto"/>
              </w:rPr>
              <w:t>$27.75</w:t>
            </w:r>
          </w:p>
        </w:tc>
        <w:tc>
          <w:tcPr>
            <w:tcW w:w="860" w:type="dxa"/>
            <w:vAlign w:val="bottom"/>
          </w:tcPr>
          <w:p>
            <w:pPr>
              <w:jc w:val="right"/>
              <w:spacing w:after="0"/>
              <w:rPr>
                <w:sz w:val="20"/>
                <w:szCs w:val="20"/>
                <w:color w:val="auto"/>
              </w:rPr>
            </w:pPr>
            <w:r>
              <w:rPr>
                <w:rFonts w:ascii="Arial" w:cs="Arial" w:eastAsia="Arial" w:hAnsi="Arial"/>
                <w:sz w:val="18"/>
                <w:szCs w:val="18"/>
                <w:color w:val="auto"/>
              </w:rPr>
              <w:t>($189.36)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right="63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June 3, 2022, the Board appointed Vijay Kotte as Chief Executive Officer of the Company and Clint Jones transitioned from Chief Executive Officer to Co-Chairman of the Board</w:t>
      </w:r>
    </w:p>
    <w:p>
      <w:pPr>
        <w:spacing w:after="0" w:line="11" w:lineRule="exact"/>
        <w:rPr>
          <w:rFonts w:ascii="Arial" w:cs="Arial" w:eastAsia="Arial" w:hAnsi="Arial"/>
          <w:sz w:val="14"/>
          <w:szCs w:val="14"/>
          <w:color w:val="auto"/>
        </w:rPr>
      </w:pPr>
    </w:p>
    <w:p>
      <w:pPr>
        <w:ind w:left="640" w:right="51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by year to calculate Compensation Actually Paid consist of:</w:t>
      </w:r>
    </w:p>
    <w:p>
      <w:pPr>
        <w:spacing w:after="0" w:line="72" w:lineRule="exact"/>
        <w:rPr>
          <w:sz w:val="20"/>
          <w:szCs w:val="20"/>
          <w:color w:val="auto"/>
        </w:rPr>
      </w:pPr>
    </w:p>
    <w:tbl>
      <w:tblPr>
        <w:tblLayout w:type="fixed"/>
        <w:tblInd w:w="3900" w:type="dxa"/>
        <w:tblCellMar>
          <w:top w:w="0" w:type="dxa"/>
          <w:left w:w="0" w:type="dxa"/>
          <w:bottom w:w="0" w:type="dxa"/>
          <w:right w:w="0" w:type="dxa"/>
        </w:tblCellMar>
      </w:tblPr>
      <w:tr>
        <w:trPr>
          <w:trHeight w:val="171"/>
        </w:trPr>
        <w:tc>
          <w:tcPr>
            <w:tcW w:w="660" w:type="dxa"/>
            <w:vAlign w:val="bottom"/>
          </w:tcPr>
          <w:p>
            <w:pPr>
              <w:spacing w:after="0"/>
              <w:rPr>
                <w:sz w:val="20"/>
                <w:szCs w:val="20"/>
                <w:color w:val="auto"/>
              </w:rPr>
            </w:pPr>
            <w:r>
              <w:rPr>
                <w:rFonts w:ascii="Arial" w:cs="Arial" w:eastAsia="Arial" w:hAnsi="Arial"/>
                <w:sz w:val="4"/>
                <w:szCs w:val="4"/>
                <w:color w:val="auto"/>
              </w:rPr>
              <w:t>​  ​</w:t>
            </w:r>
          </w:p>
        </w:tc>
        <w:tc>
          <w:tcPr>
            <w:tcW w:w="15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40" w:type="dxa"/>
            <w:vAlign w:val="bottom"/>
          </w:tcPr>
          <w:p>
            <w:pPr>
              <w:ind w:left="600"/>
              <w:spacing w:after="0"/>
              <w:rPr>
                <w:sz w:val="20"/>
                <w:szCs w:val="20"/>
                <w:color w:val="auto"/>
              </w:rPr>
            </w:pPr>
            <w:r>
              <w:rPr>
                <w:rFonts w:ascii="Arial" w:cs="Arial" w:eastAsia="Arial" w:hAnsi="Arial"/>
                <w:sz w:val="4"/>
                <w:szCs w:val="4"/>
                <w:color w:val="auto"/>
              </w:rPr>
              <w:t>​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79375</wp:posOffset>
            </wp:positionV>
            <wp:extent cx="28975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hanging="143"/>
        <w:spacing w:after="0" w:line="258" w:lineRule="auto"/>
        <w:rPr>
          <w:sz w:val="20"/>
          <w:szCs w:val="20"/>
          <w:color w:val="auto"/>
        </w:rPr>
      </w:pPr>
      <w:r>
        <w:rPr>
          <w:rFonts w:ascii="Arial" w:cs="Arial" w:eastAsia="Arial" w:hAnsi="Arial"/>
          <w:sz w:val="14"/>
          <w:szCs w:val="14"/>
          <w:b w:val="1"/>
          <w:bCs w:val="1"/>
          <w:color w:val="auto"/>
        </w:rPr>
        <w:t>Total Compensation from Summary Compensation Table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00" w:type="dxa"/>
            <w:vAlign w:val="bottom"/>
          </w:tcPr>
          <w:p>
            <w:pPr>
              <w:spacing w:after="0"/>
              <w:rPr>
                <w:sz w:val="20"/>
                <w:szCs w:val="20"/>
                <w:color w:val="auto"/>
              </w:rPr>
            </w:pPr>
            <w:r>
              <w:rPr>
                <w:rFonts w:ascii="Arial" w:cs="Arial" w:eastAsia="Arial" w:hAnsi="Arial"/>
                <w:sz w:val="4"/>
                <w:szCs w:val="4"/>
                <w:color w:val="auto"/>
              </w:rPr>
              <w:t>​  ​</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Clint Jones -</w:t>
            </w:r>
          </w:p>
        </w:tc>
        <w:tc>
          <w:tcPr>
            <w:tcW w:w="10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Vijay Kotte -</w:t>
            </w:r>
          </w:p>
        </w:tc>
        <w:tc>
          <w:tcPr>
            <w:tcW w:w="12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9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 xml:space="preserve">Average Non- </w:t>
            </w:r>
            <w:r>
              <w:rPr>
                <w:rFonts w:ascii="Arial" w:cs="Arial" w:eastAsia="Arial" w:hAnsi="Arial"/>
                <w:sz w:val="7"/>
                <w:szCs w:val="7"/>
                <w:color w:val="auto"/>
                <w:w w:val="88"/>
                <w:vertAlign w:val="subscript"/>
              </w:rPr>
              <w:t>​  ​</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Clint Jones -</w:t>
            </w:r>
          </w:p>
        </w:tc>
        <w:tc>
          <w:tcPr>
            <w:tcW w:w="10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Average Non-</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CEO</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CEO</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CEO NEOs</w:t>
            </w:r>
          </w:p>
        </w:tc>
        <w:tc>
          <w:tcPr>
            <w:tcW w:w="40" w:type="dxa"/>
            <w:vAlign w:val="bottom"/>
          </w:tcPr>
          <w:p>
            <w:pPr>
              <w:spacing w:after="0"/>
              <w:rPr>
                <w:sz w:val="16"/>
                <w:szCs w:val="16"/>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CEO</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CEO NEOs</w:t>
            </w:r>
          </w:p>
        </w:tc>
        <w:tc>
          <w:tcPr>
            <w:tcW w:w="0" w:type="dxa"/>
            <w:vAlign w:val="bottom"/>
          </w:tcPr>
          <w:p>
            <w:pPr>
              <w:spacing w:after="0"/>
              <w:rPr>
                <w:sz w:val="1"/>
                <w:szCs w:val="1"/>
                <w:color w:val="auto"/>
              </w:rPr>
            </w:pPr>
          </w:p>
        </w:tc>
      </w:tr>
      <w:tr>
        <w:trPr>
          <w:trHeight w:val="37"/>
        </w:trPr>
        <w:tc>
          <w:tcPr>
            <w:tcW w:w="100" w:type="dxa"/>
            <w:vAlign w:val="bottom"/>
            <w:vMerge w:val="restart"/>
          </w:tcPr>
          <w:p>
            <w:pPr>
              <w:spacing w:after="0"/>
              <w:rPr>
                <w:sz w:val="20"/>
                <w:szCs w:val="20"/>
                <w:color w:val="auto"/>
              </w:rPr>
            </w:pPr>
            <w:r>
              <w:rPr>
                <w:rFonts w:ascii="Arial" w:cs="Arial" w:eastAsia="Arial" w:hAnsi="Arial"/>
                <w:sz w:val="7"/>
                <w:szCs w:val="7"/>
                <w:color w:val="auto"/>
                <w:vertAlign w:val="superscript"/>
              </w:rPr>
              <w:t>​</w:t>
            </w:r>
            <w:r>
              <w:rPr>
                <w:rFonts w:ascii="Arial" w:cs="Arial" w:eastAsia="Arial" w:hAnsi="Arial"/>
                <w:sz w:val="4"/>
                <w:szCs w:val="4"/>
                <w:color w:val="auto"/>
              </w:rPr>
              <w:t xml:space="preserve">  ​</w:t>
            </w: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2,659,957</w:t>
            </w:r>
          </w:p>
        </w:tc>
        <w:tc>
          <w:tcPr>
            <w:tcW w:w="8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740" w:type="dxa"/>
            <w:vAlign w:val="bottom"/>
            <w:gridSpan w:val="3"/>
          </w:tcPr>
          <w:p>
            <w:pPr>
              <w:jc w:val="center"/>
              <w:ind w:left="28"/>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9,206,399</w:t>
            </w:r>
          </w:p>
        </w:tc>
        <w:tc>
          <w:tcPr>
            <w:tcW w:w="8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8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xml:space="preserve">3,769,344  </w:t>
            </w:r>
            <w:r>
              <w:rPr>
                <w:rFonts w:ascii="Arial" w:cs="Arial" w:eastAsia="Arial" w:hAnsi="Arial"/>
                <w:sz w:val="7"/>
                <w:szCs w:val="7"/>
                <w:color w:val="auto"/>
                <w:w w:val="96"/>
                <w:vertAlign w:val="superscript"/>
              </w:rPr>
              <w:t>​  ​</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$ 4,930,844</w:t>
            </w:r>
          </w:p>
        </w:tc>
        <w:tc>
          <w:tcPr>
            <w:tcW w:w="10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4"/>
                <w:szCs w:val="4"/>
                <w:color w:val="auto"/>
              </w:rPr>
              <w:t>​  ​</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4,042,886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-247650</wp:posOffset>
            </wp:positionV>
            <wp:extent cx="501459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14595" cy="27432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3800" w:space="100"/>
            <w:col w:w="5119"/>
          </w:cols>
          <w:pgMar w:left="1440" w:top="265" w:right="1440" w:bottom="1440" w:gutter="0" w:footer="0" w:header="0"/>
          <w:type w:val="continuous"/>
        </w:sectPr>
      </w:pPr>
    </w:p>
    <w:tbl>
      <w:tblPr>
        <w:tblLayout w:type="fixed"/>
        <w:tblInd w:w="660" w:type="dxa"/>
        <w:tblCellMar>
          <w:top w:w="0" w:type="dxa"/>
          <w:left w:w="0" w:type="dxa"/>
          <w:bottom w:w="0" w:type="dxa"/>
          <w:right w:w="0" w:type="dxa"/>
        </w:tblCellMar>
      </w:tblPr>
      <w:tr>
        <w:trPr>
          <w:trHeight w:val="188"/>
        </w:trPr>
        <w:tc>
          <w:tcPr>
            <w:tcW w:w="3120" w:type="dxa"/>
            <w:vAlign w:val="bottom"/>
          </w:tcPr>
          <w:p>
            <w:pPr>
              <w:spacing w:after="0"/>
              <w:rPr>
                <w:sz w:val="20"/>
                <w:szCs w:val="20"/>
                <w:color w:val="auto"/>
              </w:rPr>
            </w:pPr>
            <w:r>
              <w:rPr>
                <w:rFonts w:ascii="Arial" w:cs="Arial" w:eastAsia="Arial" w:hAnsi="Arial"/>
                <w:sz w:val="14"/>
                <w:szCs w:val="14"/>
                <w:b w:val="1"/>
                <w:bCs w:val="1"/>
                <w:color w:val="auto"/>
              </w:rPr>
              <w:t>Total Adjustments for Pension</w:t>
            </w:r>
          </w:p>
        </w:tc>
        <w:tc>
          <w:tcPr>
            <w:tcW w:w="220" w:type="dxa"/>
            <w:vAlign w:val="bottom"/>
          </w:tcPr>
          <w:p>
            <w:pPr>
              <w:ind w:left="120"/>
              <w:spacing w:after="0"/>
              <w:rPr>
                <w:sz w:val="20"/>
                <w:szCs w:val="20"/>
                <w:color w:val="auto"/>
              </w:rPr>
            </w:pPr>
            <w:r>
              <w:rPr>
                <w:rFonts w:ascii="Arial" w:cs="Arial" w:eastAsia="Arial" w:hAnsi="Arial"/>
                <w:sz w:val="4"/>
                <w:szCs w:val="4"/>
                <w:color w:val="auto"/>
              </w:rPr>
              <w:t>​  ​</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0  </w:t>
            </w:r>
            <w:r>
              <w:rPr>
                <w:rFonts w:ascii="Arial" w:cs="Arial" w:eastAsia="Arial" w:hAnsi="Arial"/>
                <w:sz w:val="3"/>
                <w:szCs w:val="3"/>
                <w:color w:val="auto"/>
              </w:rPr>
              <w:t>​  ​</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0  </w:t>
            </w:r>
            <w:r>
              <w:rPr>
                <w:rFonts w:ascii="Arial" w:cs="Arial" w:eastAsia="Arial" w:hAnsi="Arial"/>
                <w:sz w:val="3"/>
                <w:szCs w:val="3"/>
                <w:color w:val="auto"/>
              </w:rPr>
              <w:t>​  ​</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 xml:space="preserve">0  </w:t>
            </w:r>
            <w:r>
              <w:rPr>
                <w:rFonts w:ascii="Arial" w:cs="Arial" w:eastAsia="Arial" w:hAnsi="Arial"/>
                <w:sz w:val="3"/>
                <w:szCs w:val="3"/>
                <w:color w:val="auto"/>
              </w:rPr>
              <w:t>​  ​</w:t>
            </w: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0</w:t>
            </w:r>
          </w:p>
        </w:tc>
        <w:tc>
          <w:tcPr>
            <w:tcW w:w="500" w:type="dxa"/>
            <w:vAlign w:val="bottom"/>
            <w:gridSpan w:val="2"/>
          </w:tcPr>
          <w:p>
            <w:pPr>
              <w:spacing w:after="0"/>
              <w:rPr>
                <w:sz w:val="20"/>
                <w:szCs w:val="20"/>
                <w:color w:val="auto"/>
              </w:rPr>
            </w:pPr>
            <w:r>
              <w:rPr>
                <w:rFonts w:ascii="Arial" w:cs="Arial" w:eastAsia="Arial" w:hAnsi="Arial"/>
                <w:sz w:val="4"/>
                <w:szCs w:val="4"/>
                <w:color w:val="auto"/>
              </w:rPr>
              <w:t>​  ​</w:t>
            </w:r>
            <w:r>
              <w:rPr>
                <w:rFonts w:ascii="Arial" w:cs="Arial" w:eastAsia="Arial" w:hAnsi="Arial"/>
                <w:sz w:val="14"/>
                <w:szCs w:val="14"/>
                <w:b w:val="1"/>
                <w:bCs w:val="1"/>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31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Adjustments for Equity Awards</w:t>
            </w:r>
          </w:p>
        </w:tc>
        <w:tc>
          <w:tcPr>
            <w:tcW w:w="220" w:type="dxa"/>
            <w:vAlign w:val="bottom"/>
            <w:shd w:val="clear" w:color="auto" w:fill="CCEEFF"/>
          </w:tcPr>
          <w:p>
            <w:pPr>
              <w:ind w:left="120"/>
              <w:spacing w:after="0"/>
              <w:rPr>
                <w:sz w:val="20"/>
                <w:szCs w:val="20"/>
                <w:color w:val="auto"/>
              </w:rPr>
            </w:pPr>
            <w:r>
              <w:rPr>
                <w:rFonts w:ascii="Arial" w:cs="Arial" w:eastAsia="Arial" w:hAnsi="Arial"/>
                <w:sz w:val="4"/>
                <w:szCs w:val="4"/>
                <w:color w:val="auto"/>
              </w:rPr>
              <w:t>​  ​</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2"/>
              <w:spacing w:after="0"/>
              <w:rPr>
                <w:sz w:val="20"/>
                <w:szCs w:val="20"/>
                <w:color w:val="auto"/>
              </w:rPr>
            </w:pPr>
            <w:r>
              <w:rPr>
                <w:rFonts w:ascii="Arial" w:cs="Arial" w:eastAsia="Arial" w:hAnsi="Arial"/>
                <w:sz w:val="4"/>
                <w:szCs w:val="4"/>
                <w:color w:val="auto"/>
              </w:rPr>
              <w:t>​  ​</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2"/>
              <w:spacing w:after="0"/>
              <w:rPr>
                <w:sz w:val="20"/>
                <w:szCs w:val="20"/>
                <w:color w:val="auto"/>
              </w:rPr>
            </w:pPr>
            <w:r>
              <w:rPr>
                <w:rFonts w:ascii="Arial" w:cs="Arial" w:eastAsia="Arial" w:hAnsi="Arial"/>
                <w:sz w:val="4"/>
                <w:szCs w:val="4"/>
                <w:color w:val="auto"/>
              </w:rPr>
              <w:t>​  ​</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22"/>
              <w:spacing w:after="0"/>
              <w:rPr>
                <w:sz w:val="20"/>
                <w:szCs w:val="20"/>
                <w:color w:val="auto"/>
              </w:rPr>
            </w:pPr>
            <w:r>
              <w:rPr>
                <w:rFonts w:ascii="Arial" w:cs="Arial" w:eastAsia="Arial" w:hAnsi="Arial"/>
                <w:sz w:val="4"/>
                <w:szCs w:val="4"/>
                <w:color w:val="auto"/>
                <w:w w:val="87"/>
              </w:rPr>
              <w:t>​  ​</w:t>
            </w: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4"/>
                <w:szCs w:val="4"/>
                <w:color w:val="auto"/>
              </w:rPr>
              <w:t>​  ​</w:t>
            </w: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180"/>
              <w:spacing w:after="0"/>
              <w:rPr>
                <w:sz w:val="20"/>
                <w:szCs w:val="20"/>
                <w:color w:val="auto"/>
              </w:rPr>
            </w:pPr>
            <w:r>
              <w:rPr>
                <w:rFonts w:ascii="Arial" w:cs="Arial" w:eastAsia="Arial" w:hAnsi="Arial"/>
                <w:sz w:val="14"/>
                <w:szCs w:val="14"/>
                <w:color w:val="auto"/>
                <w:w w:val="96"/>
              </w:rPr>
              <w:t>Adjustment for grant date values in the Summary</w:t>
            </w:r>
          </w:p>
        </w:tc>
        <w:tc>
          <w:tcPr>
            <w:tcW w:w="220" w:type="dxa"/>
            <w:vAlign w:val="bottom"/>
          </w:tcPr>
          <w:p>
            <w:pPr>
              <w:ind w:left="120"/>
              <w:spacing w:after="0"/>
              <w:rPr>
                <w:sz w:val="20"/>
                <w:szCs w:val="20"/>
                <w:color w:val="auto"/>
              </w:rPr>
            </w:pPr>
            <w:r>
              <w:rPr>
                <w:rFonts w:ascii="Arial" w:cs="Arial" w:eastAsia="Arial" w:hAnsi="Arial"/>
                <w:sz w:val="4"/>
                <w:szCs w:val="4"/>
                <w:color w:val="auto"/>
              </w:rPr>
              <w:t>​  ​</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w w:val="90"/>
              </w:rPr>
              <w:t>($1,500,000)</w:t>
            </w:r>
          </w:p>
        </w:tc>
        <w:tc>
          <w:tcPr>
            <w:tcW w:w="120" w:type="dxa"/>
            <w:vAlign w:val="bottom"/>
          </w:tcPr>
          <w:p>
            <w:pPr>
              <w:jc w:val="right"/>
              <w:ind w:right="42"/>
              <w:spacing w:after="0"/>
              <w:rPr>
                <w:sz w:val="20"/>
                <w:szCs w:val="20"/>
                <w:color w:val="auto"/>
              </w:rPr>
            </w:pPr>
            <w:r>
              <w:rPr>
                <w:rFonts w:ascii="Arial" w:cs="Arial" w:eastAsia="Arial" w:hAnsi="Arial"/>
                <w:sz w:val="4"/>
                <w:szCs w:val="4"/>
                <w:color w:val="auto"/>
              </w:rPr>
              <w:t>​  ​</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w w:val="90"/>
              </w:rPr>
              <w:t>($7,040,812)</w:t>
            </w:r>
          </w:p>
        </w:tc>
        <w:tc>
          <w:tcPr>
            <w:tcW w:w="120" w:type="dxa"/>
            <w:vAlign w:val="bottom"/>
          </w:tcPr>
          <w:p>
            <w:pPr>
              <w:jc w:val="right"/>
              <w:ind w:right="42"/>
              <w:spacing w:after="0"/>
              <w:rPr>
                <w:sz w:val="20"/>
                <w:szCs w:val="20"/>
                <w:color w:val="auto"/>
              </w:rPr>
            </w:pPr>
            <w:r>
              <w:rPr>
                <w:rFonts w:ascii="Arial" w:cs="Arial" w:eastAsia="Arial" w:hAnsi="Arial"/>
                <w:sz w:val="4"/>
                <w:szCs w:val="4"/>
                <w:color w:val="auto"/>
              </w:rPr>
              <w:t>​  ​</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0"/>
              </w:rPr>
              <w:t>($2,655,067)</w:t>
            </w:r>
          </w:p>
        </w:tc>
        <w:tc>
          <w:tcPr>
            <w:tcW w:w="80" w:type="dxa"/>
            <w:vAlign w:val="bottom"/>
          </w:tcPr>
          <w:p>
            <w:pPr>
              <w:jc w:val="right"/>
              <w:ind w:right="22"/>
              <w:spacing w:after="0"/>
              <w:rPr>
                <w:sz w:val="20"/>
                <w:szCs w:val="20"/>
                <w:color w:val="auto"/>
              </w:rPr>
            </w:pPr>
            <w:r>
              <w:rPr>
                <w:rFonts w:ascii="Arial" w:cs="Arial" w:eastAsia="Arial" w:hAnsi="Arial"/>
                <w:sz w:val="4"/>
                <w:szCs w:val="4"/>
                <w:color w:val="auto"/>
                <w:w w:val="87"/>
              </w:rPr>
              <w:t>​  ​</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($ 4,000,076)</w:t>
            </w:r>
          </w:p>
        </w:tc>
        <w:tc>
          <w:tcPr>
            <w:tcW w:w="120" w:type="dxa"/>
            <w:vAlign w:val="bottom"/>
          </w:tcPr>
          <w:p>
            <w:pPr>
              <w:spacing w:after="0"/>
              <w:rPr>
                <w:sz w:val="20"/>
                <w:szCs w:val="20"/>
                <w:color w:val="auto"/>
              </w:rPr>
            </w:pPr>
            <w:r>
              <w:rPr>
                <w:rFonts w:ascii="Arial" w:cs="Arial" w:eastAsia="Arial" w:hAnsi="Arial"/>
                <w:sz w:val="4"/>
                <w:szCs w:val="4"/>
                <w:color w:val="auto"/>
              </w:rPr>
              <w:t>​  ​</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($3,139,813)</w:t>
            </w:r>
          </w:p>
        </w:tc>
        <w:tc>
          <w:tcPr>
            <w:tcW w:w="0" w:type="dxa"/>
            <w:vAlign w:val="bottom"/>
          </w:tcPr>
          <w:p>
            <w:pPr>
              <w:spacing w:after="0"/>
              <w:rPr>
                <w:sz w:val="1"/>
                <w:szCs w:val="1"/>
                <w:color w:val="auto"/>
              </w:rPr>
            </w:pPr>
          </w:p>
        </w:tc>
      </w:tr>
      <w:tr>
        <w:trPr>
          <w:trHeight w:val="182"/>
        </w:trPr>
        <w:tc>
          <w:tcPr>
            <w:tcW w:w="3120" w:type="dxa"/>
            <w:vAlign w:val="bottom"/>
          </w:tcPr>
          <w:p>
            <w:pPr>
              <w:ind w:left="360"/>
              <w:spacing w:after="0"/>
              <w:rPr>
                <w:sz w:val="20"/>
                <w:szCs w:val="20"/>
                <w:color w:val="auto"/>
              </w:rPr>
            </w:pPr>
            <w:r>
              <w:rPr>
                <w:rFonts w:ascii="Arial" w:cs="Arial" w:eastAsia="Arial" w:hAnsi="Arial"/>
                <w:sz w:val="14"/>
                <w:szCs w:val="14"/>
                <w:color w:val="auto"/>
              </w:rPr>
              <w:t>Compensation Table</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5014595"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4595" cy="2571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6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color w:val="auto"/>
                <w:w w:val="97"/>
              </w:rPr>
              <w:t>Year-end fair value of unvested awards granted in</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w w:val="96"/>
              </w:rPr>
              <w:t>$1,540,987</w:t>
            </w:r>
          </w:p>
        </w:tc>
        <w:tc>
          <w:tcPr>
            <w:tcW w:w="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4"/>
                <w:szCs w:val="4"/>
                <w:color w:val="auto"/>
              </w:rPr>
              <w:t>​  ​</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w w:val="96"/>
              </w:rPr>
              <w:t>$1,644,212</w:t>
            </w:r>
          </w:p>
        </w:tc>
        <w:tc>
          <w:tcPr>
            <w:tcW w:w="0" w:type="dxa"/>
            <w:vAlign w:val="bottom"/>
          </w:tcPr>
          <w:p>
            <w:pPr>
              <w:spacing w:after="0"/>
              <w:rPr>
                <w:sz w:val="1"/>
                <w:szCs w:val="1"/>
                <w:color w:val="auto"/>
              </w:rPr>
            </w:pPr>
          </w:p>
        </w:tc>
      </w:tr>
      <w:tr>
        <w:trPr>
          <w:trHeight w:val="182"/>
        </w:trPr>
        <w:tc>
          <w:tcPr>
            <w:tcW w:w="3040" w:type="dxa"/>
            <w:vAlign w:val="bottom"/>
          </w:tcPr>
          <w:p>
            <w:pPr>
              <w:ind w:left="180"/>
              <w:spacing w:after="0"/>
              <w:rPr>
                <w:sz w:val="20"/>
                <w:szCs w:val="20"/>
                <w:color w:val="auto"/>
              </w:rPr>
            </w:pPr>
            <w:r>
              <w:rPr>
                <w:rFonts w:ascii="Arial" w:cs="Arial" w:eastAsia="Arial" w:hAnsi="Arial"/>
                <w:sz w:val="14"/>
                <w:szCs w:val="14"/>
                <w:color w:val="auto"/>
              </w:rPr>
              <w:t>the current year</w:t>
            </w: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4"/>
                <w:szCs w:val="14"/>
                <w:color w:val="auto"/>
                <w:w w:val="93"/>
              </w:rPr>
              <w:t>Year-over-year difference of year-end fair values for</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740" w:type="dxa"/>
            <w:vAlign w:val="bottom"/>
            <w:gridSpan w:val="3"/>
            <w:vMerge w:val="restart"/>
          </w:tcPr>
          <w:p>
            <w:pPr>
              <w:spacing w:after="0"/>
              <w:rPr>
                <w:sz w:val="20"/>
                <w:szCs w:val="20"/>
                <w:color w:val="auto"/>
              </w:rPr>
            </w:pPr>
            <w:r>
              <w:rPr>
                <w:rFonts w:ascii="Arial" w:cs="Arial" w:eastAsia="Arial" w:hAnsi="Arial"/>
                <w:sz w:val="14"/>
                <w:szCs w:val="14"/>
                <w:color w:val="auto"/>
                <w:w w:val="90"/>
              </w:rPr>
              <w:t>($1,577,870)</w:t>
            </w:r>
          </w:p>
        </w:tc>
        <w:tc>
          <w:tcPr>
            <w:tcW w:w="120" w:type="dxa"/>
            <w:vAlign w:val="bottom"/>
          </w:tcPr>
          <w:p>
            <w:pPr>
              <w:spacing w:after="0"/>
              <w:rPr>
                <w:sz w:val="20"/>
                <w:szCs w:val="20"/>
                <w:color w:val="auto"/>
              </w:rPr>
            </w:pPr>
            <w:r>
              <w:rPr>
                <w:rFonts w:ascii="Arial" w:cs="Arial" w:eastAsia="Arial" w:hAnsi="Arial"/>
                <w:sz w:val="4"/>
                <w:szCs w:val="4"/>
                <w:color w:val="auto"/>
              </w:rPr>
              <w:t>​  ​</w:t>
            </w:r>
          </w:p>
        </w:tc>
        <w:tc>
          <w:tcPr>
            <w:tcW w:w="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3040" w:type="dxa"/>
            <w:vAlign w:val="bottom"/>
          </w:tcPr>
          <w:p>
            <w:pPr>
              <w:ind w:left="180"/>
              <w:spacing w:after="0"/>
              <w:rPr>
                <w:sz w:val="20"/>
                <w:szCs w:val="20"/>
                <w:color w:val="auto"/>
              </w:rPr>
            </w:pPr>
            <w:r>
              <w:rPr>
                <w:rFonts w:ascii="Arial" w:cs="Arial" w:eastAsia="Arial" w:hAnsi="Arial"/>
                <w:sz w:val="14"/>
                <w:szCs w:val="14"/>
                <w:color w:val="auto"/>
              </w:rPr>
              <w:t>unvested awards granted in prior years</w:t>
            </w:r>
          </w:p>
        </w:tc>
        <w:tc>
          <w:tcPr>
            <w:tcW w:w="1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4"/>
                <w:szCs w:val="14"/>
                <w:color w:val="auto"/>
              </w:rPr>
              <w:t>Fair values at vest date for awards granted and</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4"/>
                <w:szCs w:val="4"/>
                <w:color w:val="auto"/>
              </w:rPr>
              <w:t>​  ​</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w w:val="96"/>
              </w:rPr>
              <w:t>$4,640,987</w:t>
            </w:r>
          </w:p>
        </w:tc>
        <w:tc>
          <w:tcPr>
            <w:tcW w:w="0" w:type="dxa"/>
            <w:vAlign w:val="bottom"/>
          </w:tcPr>
          <w:p>
            <w:pPr>
              <w:spacing w:after="0"/>
              <w:rPr>
                <w:sz w:val="1"/>
                <w:szCs w:val="1"/>
                <w:color w:val="auto"/>
              </w:rPr>
            </w:pPr>
          </w:p>
        </w:tc>
      </w:tr>
      <w:tr>
        <w:trPr>
          <w:trHeight w:val="182"/>
        </w:trPr>
        <w:tc>
          <w:tcPr>
            <w:tcW w:w="3040" w:type="dxa"/>
            <w:vAlign w:val="bottom"/>
          </w:tcPr>
          <w:p>
            <w:pPr>
              <w:ind w:left="180"/>
              <w:spacing w:after="0"/>
              <w:rPr>
                <w:sz w:val="20"/>
                <w:szCs w:val="20"/>
                <w:color w:val="auto"/>
              </w:rPr>
            </w:pPr>
            <w:r>
              <w:rPr>
                <w:rFonts w:ascii="Arial" w:cs="Arial" w:eastAsia="Arial" w:hAnsi="Arial"/>
                <w:sz w:val="14"/>
                <w:szCs w:val="14"/>
                <w:color w:val="auto"/>
              </w:rPr>
              <w:t>vested in current year</w:t>
            </w:r>
          </w:p>
        </w:tc>
        <w:tc>
          <w:tcPr>
            <w:tcW w:w="1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4"/>
                <w:szCs w:val="14"/>
                <w:color w:val="auto"/>
                <w:w w:val="95"/>
              </w:rPr>
              <w:t>Difference in fair values between prior year-end fair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040" w:type="dxa"/>
            <w:vAlign w:val="bottom"/>
          </w:tcPr>
          <w:p>
            <w:pPr>
              <w:ind w:left="180"/>
              <w:spacing w:after="0" w:line="100" w:lineRule="exact"/>
              <w:rPr>
                <w:sz w:val="20"/>
                <w:szCs w:val="20"/>
                <w:color w:val="auto"/>
              </w:rPr>
            </w:pPr>
            <w:r>
              <w:rPr>
                <w:rFonts w:ascii="Arial" w:cs="Arial" w:eastAsia="Arial" w:hAnsi="Arial"/>
                <w:sz w:val="11"/>
                <w:szCs w:val="11"/>
                <w:color w:val="auto"/>
              </w:rPr>
              <w:t>values and vest date fair values for awards</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20"/>
                <w:szCs w:val="20"/>
                <w:color w:val="auto"/>
              </w:rPr>
            </w:pPr>
            <w:r>
              <w:rPr>
                <w:rFonts w:ascii="Arial" w:cs="Arial" w:eastAsia="Arial" w:hAnsi="Arial"/>
                <w:sz w:val="4"/>
                <w:szCs w:val="4"/>
                <w:color w:val="auto"/>
              </w:rPr>
              <w:t>​  ​</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80"/>
              <w:spacing w:after="0"/>
              <w:rPr>
                <w:sz w:val="20"/>
                <w:szCs w:val="20"/>
                <w:color w:val="auto"/>
              </w:rPr>
            </w:pPr>
            <w:r>
              <w:rPr>
                <w:rFonts w:ascii="Arial" w:cs="Arial" w:eastAsia="Arial" w:hAnsi="Arial"/>
                <w:sz w:val="14"/>
                <w:szCs w:val="14"/>
                <w:color w:val="auto"/>
              </w:rPr>
              <w:t>granted in prior years</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7"/>
              </w:rPr>
              <w:t>799,495)</w:t>
            </w:r>
          </w:p>
        </w:tc>
        <w:tc>
          <w:tcPr>
            <w:tcW w:w="12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-591185</wp:posOffset>
            </wp:positionV>
            <wp:extent cx="501459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1459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80" w:type="dxa"/>
            <w:vAlign w:val="bottom"/>
          </w:tcPr>
          <w:p>
            <w:pPr>
              <w:spacing w:after="0"/>
              <w:rPr>
                <w:sz w:val="20"/>
                <w:szCs w:val="20"/>
                <w:color w:val="auto"/>
              </w:rPr>
            </w:pPr>
            <w:r>
              <w:rPr>
                <w:rFonts w:ascii="Arial" w:cs="Arial" w:eastAsia="Arial" w:hAnsi="Arial"/>
                <w:sz w:val="4"/>
                <w:szCs w:val="4"/>
                <w:color w:val="auto"/>
              </w:rPr>
              <w:t>​  ​</w:t>
            </w: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4"/>
              </w:rPr>
              <w:t>$1,165,958</w:t>
            </w:r>
          </w:p>
        </w:tc>
        <w:tc>
          <w:tcPr>
            <w:tcW w:w="60" w:type="dxa"/>
            <w:vAlign w:val="bottom"/>
          </w:tcPr>
          <w:p>
            <w:pPr>
              <w:spacing w:after="0"/>
              <w:rPr>
                <w:sz w:val="17"/>
                <w:szCs w:val="17"/>
                <w:color w:val="auto"/>
              </w:rPr>
            </w:pPr>
          </w:p>
        </w:tc>
        <w:tc>
          <w:tcPr>
            <w:tcW w:w="80" w:type="dxa"/>
            <w:vAlign w:val="bottom"/>
          </w:tcPr>
          <w:p>
            <w:pPr>
              <w:jc w:val="right"/>
              <w:ind w:right="22"/>
              <w:spacing w:after="0"/>
              <w:rPr>
                <w:sz w:val="20"/>
                <w:szCs w:val="20"/>
                <w:color w:val="auto"/>
              </w:rPr>
            </w:pPr>
            <w:r>
              <w:rPr>
                <w:rFonts w:ascii="Arial" w:cs="Arial" w:eastAsia="Arial" w:hAnsi="Arial"/>
                <w:sz w:val="4"/>
                <w:szCs w:val="4"/>
                <w:color w:val="auto"/>
                <w:w w:val="87"/>
              </w:rPr>
              <w:t>​  ​</w:t>
            </w: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527,998</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360,474</w:t>
            </w:r>
          </w:p>
        </w:tc>
        <w:tc>
          <w:tcPr>
            <w:tcW w:w="60" w:type="dxa"/>
            <w:vAlign w:val="bottom"/>
          </w:tcPr>
          <w:p>
            <w:pPr>
              <w:spacing w:after="0"/>
              <w:rPr>
                <w:sz w:val="17"/>
                <w:szCs w:val="17"/>
                <w:color w:val="auto"/>
              </w:rPr>
            </w:pP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680" w:type="dxa"/>
            <w:vAlign w:val="bottom"/>
            <w:gridSpan w:val="3"/>
          </w:tcPr>
          <w:p>
            <w:pPr>
              <w:jc w:val="right"/>
              <w:ind w:right="22"/>
              <w:spacing w:after="0"/>
              <w:rPr>
                <w:sz w:val="20"/>
                <w:szCs w:val="20"/>
                <w:color w:val="auto"/>
              </w:rPr>
            </w:pPr>
            <w:r>
              <w:rPr>
                <w:rFonts w:ascii="Arial" w:cs="Arial" w:eastAsia="Arial" w:hAnsi="Arial"/>
                <w:sz w:val="14"/>
                <w:szCs w:val="14"/>
                <w:color w:val="auto"/>
              </w:rPr>
              <w:t>357,255)</w:t>
            </w:r>
            <w:r>
              <w:rPr>
                <w:rFonts w:ascii="Arial" w:cs="Arial" w:eastAsia="Arial" w:hAnsi="Arial"/>
                <w:sz w:val="7"/>
                <w:szCs w:val="7"/>
                <w:color w:val="auto"/>
                <w:vertAlign w:val="superscript"/>
              </w:rPr>
              <w:t>​  ​</w:t>
            </w:r>
          </w:p>
        </w:tc>
        <w:tc>
          <w:tcPr>
            <w:tcW w:w="860" w:type="dxa"/>
            <w:vAlign w:val="bottom"/>
            <w:gridSpan w:val="4"/>
          </w:tcPr>
          <w:p>
            <w:pPr>
              <w:ind w:left="40"/>
              <w:spacing w:after="0"/>
              <w:rPr>
                <w:sz w:val="20"/>
                <w:szCs w:val="20"/>
                <w:color w:val="auto"/>
              </w:rPr>
            </w:pPr>
            <w:r>
              <w:rPr>
                <w:rFonts w:ascii="Arial" w:cs="Arial" w:eastAsia="Arial" w:hAnsi="Arial"/>
                <w:sz w:val="14"/>
                <w:szCs w:val="14"/>
                <w:color w:val="auto"/>
                <w:w w:val="96"/>
              </w:rPr>
              <w:t>($ 6,163,822)</w:t>
            </w:r>
          </w:p>
        </w:tc>
        <w:tc>
          <w:tcPr>
            <w:tcW w:w="180" w:type="dxa"/>
            <w:vAlign w:val="bottom"/>
          </w:tcPr>
          <w:p>
            <w:pPr>
              <w:spacing w:after="0"/>
              <w:rPr>
                <w:sz w:val="20"/>
                <w:szCs w:val="20"/>
                <w:color w:val="auto"/>
              </w:rPr>
            </w:pPr>
            <w:r>
              <w:rPr>
                <w:rFonts w:ascii="Arial" w:cs="Arial" w:eastAsia="Arial" w:hAnsi="Arial"/>
                <w:sz w:val="4"/>
                <w:szCs w:val="4"/>
                <w:color w:val="auto"/>
              </w:rPr>
              <w:t>​  ​</w:t>
            </w:r>
          </w:p>
        </w:tc>
        <w:tc>
          <w:tcPr>
            <w:tcW w:w="760" w:type="dxa"/>
            <w:vAlign w:val="bottom"/>
            <w:gridSpan w:val="3"/>
          </w:tcPr>
          <w:p>
            <w:pPr>
              <w:spacing w:after="0"/>
              <w:rPr>
                <w:sz w:val="20"/>
                <w:szCs w:val="20"/>
                <w:color w:val="auto"/>
              </w:rPr>
            </w:pPr>
            <w:r>
              <w:rPr>
                <w:rFonts w:ascii="Arial" w:cs="Arial" w:eastAsia="Arial" w:hAnsi="Arial"/>
                <w:sz w:val="14"/>
                <w:szCs w:val="14"/>
                <w:color w:val="auto"/>
                <w:w w:val="93"/>
              </w:rPr>
              <w:t>($2,310,343)</w:t>
            </w:r>
          </w:p>
        </w:tc>
      </w:tr>
      <w:tr>
        <w:trPr>
          <w:trHeight w:val="405"/>
        </w:trPr>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818,997</w:t>
            </w:r>
          </w:p>
        </w:tc>
        <w:tc>
          <w:tcPr>
            <w:tcW w:w="60" w:type="dxa"/>
            <w:vAlign w:val="bottom"/>
          </w:tcPr>
          <w:p>
            <w:pPr>
              <w:spacing w:after="0"/>
              <w:rPr>
                <w:sz w:val="24"/>
                <w:szCs w:val="24"/>
                <w:color w:val="auto"/>
              </w:rPr>
            </w:pPr>
          </w:p>
        </w:tc>
        <w:tc>
          <w:tcPr>
            <w:tcW w:w="80" w:type="dxa"/>
            <w:vAlign w:val="bottom"/>
          </w:tcPr>
          <w:p>
            <w:pPr>
              <w:jc w:val="right"/>
              <w:ind w:right="22"/>
              <w:spacing w:after="0"/>
              <w:rPr>
                <w:sz w:val="20"/>
                <w:szCs w:val="20"/>
                <w:color w:val="auto"/>
              </w:rPr>
            </w:pPr>
            <w:r>
              <w:rPr>
                <w:rFonts w:ascii="Arial" w:cs="Arial" w:eastAsia="Arial" w:hAnsi="Arial"/>
                <w:sz w:val="4"/>
                <w:szCs w:val="4"/>
                <w:color w:val="auto"/>
                <w:w w:val="87"/>
              </w:rPr>
              <w:t>​  ​</w:t>
            </w: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24"/>
                <w:szCs w:val="24"/>
                <w:color w:val="auto"/>
              </w:rPr>
            </w:pPr>
          </w:p>
        </w:tc>
      </w:tr>
      <w:tr>
        <w:trPr>
          <w:trHeight w:val="332"/>
        </w:trPr>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jc w:val="right"/>
              <w:ind w:right="22"/>
              <w:spacing w:after="0"/>
              <w:rPr>
                <w:sz w:val="20"/>
                <w:szCs w:val="20"/>
                <w:color w:val="auto"/>
              </w:rPr>
            </w:pPr>
            <w:r>
              <w:rPr>
                <w:rFonts w:ascii="Arial" w:cs="Arial" w:eastAsia="Arial" w:hAnsi="Arial"/>
                <w:sz w:val="4"/>
                <w:szCs w:val="4"/>
                <w:color w:val="auto"/>
                <w:w w:val="87"/>
              </w:rPr>
              <w:t>​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4"/>
                <w:szCs w:val="4"/>
                <w:color w:val="auto"/>
              </w:rPr>
              <w:t>​  ​</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1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172,938)</w:t>
            </w:r>
          </w:p>
        </w:tc>
        <w:tc>
          <w:tcPr>
            <w:tcW w:w="80" w:type="dxa"/>
            <w:vAlign w:val="bottom"/>
          </w:tcPr>
          <w:p>
            <w:pPr>
              <w:spacing w:after="0"/>
              <w:rPr>
                <w:sz w:val="19"/>
                <w:szCs w:val="19"/>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$ 1,781,909)</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641,484)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2">
            <w:col w:w="5620" w:space="100"/>
            <w:col w:w="3299"/>
          </w:cols>
          <w:pgMar w:left="1440" w:top="265" w:right="1440" w:bottom="1440" w:gutter="0" w:footer="0" w:header="0"/>
          <w:type w:val="continuous"/>
        </w:sectPr>
      </w:pPr>
    </w:p>
    <w:tbl>
      <w:tblPr>
        <w:tblLayout w:type="fixed"/>
        <w:tblInd w:w="660" w:type="dxa"/>
        <w:tblCellMar>
          <w:top w:w="0" w:type="dxa"/>
          <w:left w:w="0" w:type="dxa"/>
          <w:bottom w:w="0" w:type="dxa"/>
          <w:right w:w="0" w:type="dxa"/>
        </w:tblCellMar>
      </w:tblPr>
      <w:tr>
        <w:trPr>
          <w:trHeight w:val="250"/>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4"/>
                <w:szCs w:val="4"/>
                <w:color w:val="auto"/>
              </w:rPr>
              <w:t>​  ​</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4"/>
                <w:szCs w:val="14"/>
                <w:b w:val="1"/>
                <w:bCs w:val="1"/>
                <w:color w:val="auto"/>
                <w:w w:val="96"/>
              </w:rPr>
              <w:t>($2,336,378)</w:t>
            </w:r>
            <w:r>
              <w:rPr>
                <w:rFonts w:ascii="Arial" w:cs="Arial" w:eastAsia="Arial" w:hAnsi="Arial"/>
                <w:sz w:val="3"/>
                <w:szCs w:val="3"/>
                <w:color w:val="auto"/>
                <w:w w:val="96"/>
              </w:rPr>
              <w:t>​  ​</w:t>
            </w:r>
          </w:p>
        </w:tc>
        <w:tc>
          <w:tcPr>
            <w:tcW w:w="9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  755,613)</w:t>
            </w:r>
            <w:r>
              <w:rPr>
                <w:rFonts w:ascii="Arial" w:cs="Arial" w:eastAsia="Arial" w:hAnsi="Arial"/>
                <w:sz w:val="3"/>
                <w:szCs w:val="3"/>
                <w:color w:val="auto"/>
              </w:rPr>
              <w:t>​  ​</w:t>
            </w:r>
          </w:p>
        </w:tc>
        <w:tc>
          <w:tcPr>
            <w:tcW w:w="8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4"/>
                <w:szCs w:val="14"/>
                <w:b w:val="1"/>
                <w:bCs w:val="1"/>
                <w:color w:val="auto"/>
                <w:w w:val="96"/>
              </w:rPr>
              <w:t>($1,200,305)</w:t>
            </w:r>
            <w:r>
              <w:rPr>
                <w:rFonts w:ascii="Arial" w:cs="Arial" w:eastAsia="Arial" w:hAnsi="Arial"/>
                <w:sz w:val="3"/>
                <w:szCs w:val="3"/>
                <w:color w:val="auto"/>
                <w:w w:val="96"/>
              </w:rPr>
              <w:t>​  ​</w:t>
            </w:r>
          </w:p>
        </w:tc>
        <w:tc>
          <w:tcPr>
            <w:tcW w:w="104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($11,417,809)</w:t>
            </w:r>
            <w:r>
              <w:rPr>
                <w:rFonts w:ascii="Arial" w:cs="Arial" w:eastAsia="Arial" w:hAnsi="Arial"/>
                <w:sz w:val="3"/>
                <w:szCs w:val="3"/>
                <w:color w:val="auto"/>
              </w:rPr>
              <w:t>​  ​</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3"/>
              </w:rPr>
              <w:t>($5,731,166)</w:t>
            </w:r>
          </w:p>
        </w:tc>
      </w:tr>
      <w:tr>
        <w:trPr>
          <w:trHeight w:val="145"/>
        </w:trPr>
        <w:tc>
          <w:tcPr>
            <w:tcW w:w="2960" w:type="dxa"/>
            <w:vAlign w:val="bottom"/>
          </w:tcPr>
          <w:p>
            <w:pPr>
              <w:spacing w:after="0"/>
              <w:rPr>
                <w:sz w:val="12"/>
                <w:szCs w:val="12"/>
                <w:color w:val="auto"/>
              </w:rPr>
            </w:pPr>
          </w:p>
        </w:tc>
        <w:tc>
          <w:tcPr>
            <w:tcW w:w="440" w:type="dxa"/>
            <w:vAlign w:val="bottom"/>
          </w:tcPr>
          <w:p>
            <w:pPr>
              <w:ind w:left="280"/>
              <w:spacing w:after="0"/>
              <w:rPr>
                <w:sz w:val="20"/>
                <w:szCs w:val="20"/>
                <w:color w:val="auto"/>
              </w:rPr>
            </w:pPr>
            <w:r>
              <w:rPr>
                <w:rFonts w:ascii="Arial" w:cs="Arial" w:eastAsia="Arial" w:hAnsi="Arial"/>
                <w:sz w:val="4"/>
                <w:szCs w:val="4"/>
                <w:color w:val="auto"/>
              </w:rPr>
              <w:t>​  ​</w:t>
            </w:r>
          </w:p>
        </w:tc>
        <w:tc>
          <w:tcPr>
            <w:tcW w:w="640" w:type="dxa"/>
            <w:vAlign w:val="bottom"/>
          </w:tcPr>
          <w:p>
            <w:pPr>
              <w:spacing w:after="0"/>
              <w:rPr>
                <w:sz w:val="12"/>
                <w:szCs w:val="12"/>
                <w:color w:val="auto"/>
              </w:rPr>
            </w:pPr>
          </w:p>
        </w:tc>
        <w:tc>
          <w:tcPr>
            <w:tcW w:w="220" w:type="dxa"/>
            <w:vAlign w:val="bottom"/>
          </w:tcPr>
          <w:p>
            <w:pPr>
              <w:jc w:val="right"/>
              <w:ind w:right="42"/>
              <w:spacing w:after="0"/>
              <w:rPr>
                <w:sz w:val="20"/>
                <w:szCs w:val="20"/>
                <w:color w:val="auto"/>
              </w:rPr>
            </w:pPr>
            <w:r>
              <w:rPr>
                <w:rFonts w:ascii="Arial" w:cs="Arial" w:eastAsia="Arial" w:hAnsi="Arial"/>
                <w:sz w:val="4"/>
                <w:szCs w:val="4"/>
                <w:color w:val="auto"/>
              </w:rPr>
              <w:t>​  ​</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ind w:right="102"/>
              <w:spacing w:after="0"/>
              <w:rPr>
                <w:sz w:val="20"/>
                <w:szCs w:val="20"/>
                <w:color w:val="auto"/>
              </w:rPr>
            </w:pPr>
            <w:r>
              <w:rPr>
                <w:rFonts w:ascii="Arial" w:cs="Arial" w:eastAsia="Arial" w:hAnsi="Arial"/>
                <w:sz w:val="4"/>
                <w:szCs w:val="4"/>
                <w:color w:val="auto"/>
              </w:rPr>
              <w:t>​  ​</w:t>
            </w:r>
          </w:p>
        </w:tc>
        <w:tc>
          <w:tcPr>
            <w:tcW w:w="66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4"/>
                <w:szCs w:val="4"/>
                <w:color w:val="auto"/>
              </w:rPr>
              <w:t>​  ​</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jc w:val="right"/>
              <w:ind w:right="102"/>
              <w:spacing w:after="0"/>
              <w:rPr>
                <w:sz w:val="20"/>
                <w:szCs w:val="20"/>
                <w:color w:val="auto"/>
              </w:rPr>
            </w:pPr>
            <w:r>
              <w:rPr>
                <w:rFonts w:ascii="Arial" w:cs="Arial" w:eastAsia="Arial" w:hAnsi="Arial"/>
                <w:sz w:val="4"/>
                <w:szCs w:val="4"/>
                <w:color w:val="auto"/>
              </w:rPr>
              <w:t>​  ​</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1"/>
        </w:trPr>
        <w:tc>
          <w:tcPr>
            <w:tcW w:w="2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440" w:type="dxa"/>
            <w:vAlign w:val="bottom"/>
            <w:shd w:val="clear" w:color="auto" w:fill="CCEEFF"/>
          </w:tcPr>
          <w:p>
            <w:pPr>
              <w:ind w:left="280"/>
              <w:spacing w:after="0"/>
              <w:rPr>
                <w:sz w:val="20"/>
                <w:szCs w:val="20"/>
                <w:color w:val="auto"/>
              </w:rPr>
            </w:pPr>
            <w:r>
              <w:rPr>
                <w:rFonts w:ascii="Arial" w:cs="Arial" w:eastAsia="Arial" w:hAnsi="Arial"/>
                <w:sz w:val="4"/>
                <w:szCs w:val="4"/>
                <w:color w:val="auto"/>
              </w:rPr>
              <w:t>​  ​</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b w:val="1"/>
                <w:bCs w:val="1"/>
                <w:color w:val="auto"/>
              </w:rPr>
              <w:t xml:space="preserve">$  323,579  </w:t>
            </w:r>
            <w:r>
              <w:rPr>
                <w:rFonts w:ascii="Arial" w:cs="Arial" w:eastAsia="Arial" w:hAnsi="Arial"/>
                <w:sz w:val="3"/>
                <w:szCs w:val="3"/>
                <w:color w:val="auto"/>
              </w:rPr>
              <w:t>​  ​</w:t>
            </w:r>
          </w:p>
        </w:tc>
        <w:tc>
          <w:tcPr>
            <w:tcW w:w="980" w:type="dxa"/>
            <w:vAlign w:val="bottom"/>
            <w:gridSpan w:val="3"/>
            <w:shd w:val="clear" w:color="auto" w:fill="CCEEFF"/>
          </w:tcPr>
          <w:p>
            <w:pPr>
              <w:jc w:val="right"/>
              <w:ind w:right="102"/>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8,450,786  </w:t>
            </w:r>
            <w:r>
              <w:rPr>
                <w:rFonts w:ascii="Arial" w:cs="Arial" w:eastAsia="Arial" w:hAnsi="Arial"/>
                <w:sz w:val="3"/>
                <w:szCs w:val="3"/>
                <w:color w:val="auto"/>
              </w:rPr>
              <w:t>​  ​</w:t>
            </w:r>
          </w:p>
        </w:tc>
        <w:tc>
          <w:tcPr>
            <w:tcW w:w="840" w:type="dxa"/>
            <w:vAlign w:val="bottom"/>
            <w:gridSpan w:val="2"/>
            <w:shd w:val="clear" w:color="auto" w:fill="CCEEFF"/>
          </w:tcPr>
          <w:p>
            <w:pPr>
              <w:jc w:val="right"/>
              <w:ind w:right="22"/>
              <w:spacing w:after="0"/>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 xml:space="preserve">2,569,039  </w:t>
            </w:r>
            <w:r>
              <w:rPr>
                <w:rFonts w:ascii="Arial" w:cs="Arial" w:eastAsia="Arial" w:hAnsi="Arial"/>
                <w:sz w:val="3"/>
                <w:szCs w:val="3"/>
                <w:color w:val="auto"/>
                <w:w w:val="98"/>
              </w:rPr>
              <w:t>​  ​</w:t>
            </w:r>
          </w:p>
        </w:tc>
        <w:tc>
          <w:tcPr>
            <w:tcW w:w="1040" w:type="dxa"/>
            <w:vAlign w:val="bottom"/>
            <w:gridSpan w:val="3"/>
            <w:shd w:val="clear" w:color="auto" w:fill="CCEEFF"/>
          </w:tcPr>
          <w:p>
            <w:pPr>
              <w:jc w:val="right"/>
              <w:ind w:right="102"/>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$ 6,486,965) </w:t>
            </w:r>
            <w:r>
              <w:rPr>
                <w:rFonts w:ascii="Arial" w:cs="Arial" w:eastAsia="Arial" w:hAnsi="Arial"/>
                <w:sz w:val="3"/>
                <w:szCs w:val="3"/>
                <w:color w:val="auto"/>
              </w:rPr>
              <w:t>​  ​</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1,688,280)</w:t>
            </w: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35" w:lineRule="exact"/>
        <w:rPr>
          <w:sz w:val="20"/>
          <w:szCs w:val="20"/>
          <w:color w:val="auto"/>
        </w:rPr>
      </w:pPr>
    </w:p>
    <w:p>
      <w:pPr>
        <w:ind w:left="640" w:right="10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Equity valuation assumptions for calculating Compensation Actually Paid are not materially different from grant date valuation assumptions, with the exception of stock options.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following summarizes the valuation assumptions used for stock option awards included as part of Compensation Actually Paid:</w:t>
      </w:r>
    </w:p>
    <w:p>
      <w:pPr>
        <w:spacing w:after="0" w:line="53" w:lineRule="exact"/>
        <w:rPr>
          <w:rFonts w:ascii="Arial" w:cs="Arial" w:eastAsia="Arial" w:hAnsi="Arial"/>
          <w:sz w:val="13"/>
          <w:szCs w:val="13"/>
          <w:color w:val="auto"/>
        </w:rPr>
      </w:pPr>
    </w:p>
    <w:p>
      <w:pPr>
        <w:ind w:left="660" w:right="459" w:hanging="8"/>
        <w:spacing w:after="0" w:line="253" w:lineRule="auto"/>
        <w:tabs>
          <w:tab w:leader="none" w:pos="744" w:val="left"/>
        </w:tabs>
        <w:numPr>
          <w:ilvl w:val="1"/>
          <w:numId w:val="25"/>
        </w:numPr>
        <w:rPr>
          <w:rFonts w:ascii="Arial" w:cs="Arial" w:eastAsia="Arial" w:hAnsi="Arial"/>
          <w:sz w:val="14"/>
          <w:szCs w:val="14"/>
          <w:color w:val="auto"/>
        </w:rPr>
      </w:pPr>
      <w:r>
        <w:rPr>
          <w:rFonts w:ascii="Arial" w:cs="Arial" w:eastAsia="Arial" w:hAnsi="Arial"/>
          <w:sz w:val="14"/>
          <w:szCs w:val="14"/>
          <w:color w:val="auto"/>
        </w:rPr>
        <w:t>Expected life of each stock option is based on the “simplified method” using an average of the remaining vest and remaining term, as of the vest/FYE date.</w:t>
      </w:r>
    </w:p>
    <w:p>
      <w:pPr>
        <w:spacing w:after="0" w:line="38" w:lineRule="exact"/>
        <w:rPr>
          <w:rFonts w:ascii="Arial" w:cs="Arial" w:eastAsia="Arial" w:hAnsi="Arial"/>
          <w:sz w:val="14"/>
          <w:szCs w:val="14"/>
          <w:color w:val="auto"/>
        </w:rPr>
      </w:pPr>
    </w:p>
    <w:p>
      <w:pPr>
        <w:ind w:left="740" w:hanging="88"/>
        <w:spacing w:after="0"/>
        <w:tabs>
          <w:tab w:leader="none" w:pos="7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Strike price is based on each grant date closing price and asset price is based on each vest/FYE closing price.</w:t>
      </w:r>
    </w:p>
    <w:p>
      <w:pPr>
        <w:spacing w:after="0" w:line="55" w:lineRule="exact"/>
        <w:rPr>
          <w:rFonts w:ascii="Arial" w:cs="Arial" w:eastAsia="Arial" w:hAnsi="Arial"/>
          <w:sz w:val="14"/>
          <w:szCs w:val="14"/>
          <w:color w:val="auto"/>
        </w:rPr>
      </w:pPr>
    </w:p>
    <w:p>
      <w:pPr>
        <w:ind w:left="740" w:hanging="88"/>
        <w:spacing w:after="0"/>
        <w:tabs>
          <w:tab w:leader="none" w:pos="7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Risk free rate is based on the Treasury Constant Maturity rate closest to the remaining expected life as of the vest/FYE date.</w:t>
      </w:r>
    </w:p>
    <w:p>
      <w:pPr>
        <w:spacing w:after="0" w:line="41" w:lineRule="exact"/>
        <w:rPr>
          <w:rFonts w:ascii="Arial" w:cs="Arial" w:eastAsia="Arial" w:hAnsi="Arial"/>
          <w:sz w:val="14"/>
          <w:szCs w:val="14"/>
          <w:color w:val="auto"/>
        </w:rPr>
      </w:pPr>
    </w:p>
    <w:p>
      <w:pPr>
        <w:ind w:left="660" w:right="379" w:hanging="8"/>
        <w:spacing w:after="0" w:line="253" w:lineRule="auto"/>
        <w:tabs>
          <w:tab w:leader="none" w:pos="744" w:val="left"/>
        </w:tabs>
        <w:numPr>
          <w:ilvl w:val="1"/>
          <w:numId w:val="25"/>
        </w:numPr>
        <w:rPr>
          <w:rFonts w:ascii="Arial" w:cs="Arial" w:eastAsia="Arial" w:hAnsi="Arial"/>
          <w:sz w:val="14"/>
          <w:szCs w:val="14"/>
          <w:color w:val="auto"/>
        </w:rPr>
      </w:pPr>
      <w:r>
        <w:rPr>
          <w:rFonts w:ascii="Arial" w:cs="Arial" w:eastAsia="Arial" w:hAnsi="Arial"/>
          <w:sz w:val="14"/>
          <w:szCs w:val="14"/>
          <w:color w:val="auto"/>
        </w:rPr>
        <w:t>With limited historical stock price information, volatility is based on all available daily price history prior to each vest/FYE date. Closing prices provided by S&amp;P Capital IQ are adjusted for dividends and splits.</w:t>
      </w:r>
    </w:p>
    <w:p>
      <w:pPr>
        <w:spacing w:after="0" w:line="25" w:lineRule="exact"/>
        <w:rPr>
          <w:rFonts w:ascii="Arial" w:cs="Arial" w:eastAsia="Arial" w:hAnsi="Arial"/>
          <w:sz w:val="14"/>
          <w:szCs w:val="14"/>
          <w:color w:val="auto"/>
        </w:rPr>
      </w:pPr>
    </w:p>
    <w:p>
      <w:pPr>
        <w:ind w:left="740" w:hanging="88"/>
        <w:spacing w:after="0"/>
        <w:tabs>
          <w:tab w:leader="none" w:pos="7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Represents annual dividend yield on each vest/FYE date.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performance-based RSUs remain unvested and assume a probable outcome of 0% at each FYE.</w:t>
      </w:r>
    </w:p>
    <w:p>
      <w:pPr>
        <w:spacing w:after="0" w:line="41" w:lineRule="exact"/>
        <w:rPr>
          <w:rFonts w:ascii="Arial" w:cs="Arial" w:eastAsia="Arial" w:hAnsi="Arial"/>
          <w:sz w:val="14"/>
          <w:szCs w:val="14"/>
          <w:color w:val="auto"/>
        </w:rPr>
      </w:pPr>
    </w:p>
    <w:p>
      <w:pPr>
        <w:ind w:left="640" w:right="53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38"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2022: Shane Cruz, Jason Schulz</w:t>
      </w:r>
    </w:p>
    <w:p>
      <w:pPr>
        <w:spacing w:after="0" w:line="5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2021: Brandon Cruz, James Sharman, Travis Matthiesen, Vance Johnston, Brian Farley</w:t>
      </w:r>
    </w:p>
    <w:p>
      <w:pPr>
        <w:spacing w:after="0" w:line="41" w:lineRule="exact"/>
        <w:rPr>
          <w:rFonts w:ascii="Arial" w:cs="Arial" w:eastAsia="Arial" w:hAnsi="Arial"/>
          <w:sz w:val="14"/>
          <w:szCs w:val="14"/>
          <w:color w:val="auto"/>
        </w:rPr>
      </w:pPr>
    </w:p>
    <w:p>
      <w:pPr>
        <w:ind w:left="640" w:right="519" w:hanging="348"/>
        <w:spacing w:after="0" w:line="253"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Pursuant to the rules of the SEC, the comparison assumes $100 was invested on December 31, 2020. Historic stock price performance is not necessarily indicative of future stock price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illustrations below provide a graphical description of CAP (as calculated in accordance with the SEC rules) and the following measures:</w:t>
      </w:r>
    </w:p>
    <w:p>
      <w:pPr>
        <w:spacing w:after="0" w:line="62"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cumulative Total Stockholder Return (“TSR”);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Net Income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180340</wp:posOffset>
            </wp:positionV>
            <wp:extent cx="4766310" cy="2682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631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171450</wp:posOffset>
            </wp:positionV>
            <wp:extent cx="4843145" cy="2648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431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Relationship Between Pay and Performance</w:t>
      </w:r>
    </w:p>
    <w:p>
      <w:pPr>
        <w:spacing w:after="0" w:line="117"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believe the “Compensation Actually Paid” in each of the years reported above and over the two-year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our Annual Program and our share-based compensation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Securities</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58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5"/>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vMerge w:val="restart"/>
          </w:tcPr>
          <w:p>
            <w:pPr>
              <w:spacing w:after="0"/>
              <w:rPr>
                <w:sz w:val="12"/>
                <w:szCs w:val="12"/>
                <w:color w:val="auto"/>
              </w:rPr>
            </w:pPr>
          </w:p>
        </w:tc>
        <w:tc>
          <w:tcPr>
            <w:tcW w:w="14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Warrants and Rights</w:t>
            </w:r>
          </w:p>
        </w:tc>
        <w:tc>
          <w:tcPr>
            <w:tcW w:w="15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Outstanding Options,</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242"/>
        </w:trPr>
        <w:tc>
          <w:tcPr>
            <w:tcW w:w="368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1580" w:type="dxa"/>
            <w:vAlign w:val="bottom"/>
            <w:gridSpan w:val="2"/>
          </w:tcPr>
          <w:p>
            <w:pPr>
              <w:jc w:val="center"/>
              <w:ind w:right="140"/>
              <w:spacing w:after="0" w:line="242" w:lineRule="exact"/>
              <w:rPr>
                <w:sz w:val="20"/>
                <w:szCs w:val="20"/>
                <w:color w:val="auto"/>
              </w:rPr>
            </w:pPr>
            <w:r>
              <w:rPr>
                <w:rFonts w:ascii="Arial" w:cs="Arial" w:eastAsia="Arial" w:hAnsi="Arial"/>
                <w:sz w:val="14"/>
                <w:szCs w:val="14"/>
                <w:b w:val="1"/>
                <w:bCs w:val="1"/>
                <w:color w:val="auto"/>
                <w:w w:val="92"/>
              </w:rPr>
              <w:t>Warrants and Rights</w:t>
            </w:r>
            <w:r>
              <w:rPr>
                <w:rFonts w:ascii="Arial" w:cs="Arial" w:eastAsia="Arial" w:hAnsi="Arial"/>
                <w:sz w:val="23"/>
                <w:szCs w:val="23"/>
                <w:b w:val="1"/>
                <w:bCs w:val="1"/>
                <w:color w:val="auto"/>
                <w:w w:val="92"/>
                <w:vertAlign w:val="superscript"/>
              </w:rPr>
              <w:t>(2)</w:t>
            </w:r>
          </w:p>
        </w:tc>
        <w:tc>
          <w:tcPr>
            <w:tcW w:w="152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9"/>
              </w:rPr>
              <w:t>Plans</w:t>
            </w:r>
            <w:r>
              <w:rPr>
                <w:rFonts w:ascii="Arial" w:cs="Arial" w:eastAsia="Arial" w:hAnsi="Arial"/>
                <w:sz w:val="23"/>
                <w:szCs w:val="23"/>
                <w:b w:val="1"/>
                <w:bCs w:val="1"/>
                <w:color w:val="auto"/>
                <w:w w:val="89"/>
                <w:vertAlign w:val="superscript"/>
              </w:rPr>
              <w:t>(3)</w:t>
            </w:r>
            <w:r>
              <w:rPr>
                <w:rFonts w:ascii="Arial" w:cs="Arial" w:eastAsia="Arial" w:hAnsi="Arial"/>
                <w:sz w:val="14"/>
                <w:szCs w:val="14"/>
                <w:b w:val="1"/>
                <w:bCs w:val="1"/>
                <w:color w:val="auto"/>
                <w:w w:val="89"/>
              </w:rPr>
              <w:t xml:space="preserve"> (in thousands)</w:t>
            </w:r>
          </w:p>
        </w:tc>
        <w:tc>
          <w:tcPr>
            <w:tcW w:w="0" w:type="dxa"/>
            <w:vAlign w:val="bottom"/>
          </w:tcPr>
          <w:p>
            <w:pPr>
              <w:spacing w:after="0"/>
              <w:rPr>
                <w:sz w:val="1"/>
                <w:szCs w:val="1"/>
                <w:color w:val="auto"/>
              </w:rPr>
            </w:pPr>
          </w:p>
        </w:tc>
      </w:tr>
      <w:tr>
        <w:trPr>
          <w:trHeight w:val="253"/>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16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4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holders</w:t>
            </w:r>
            <w:r>
              <w:rPr>
                <w:rFonts w:ascii="Arial" w:cs="Arial" w:eastAsia="Arial" w:hAnsi="Arial"/>
                <w:sz w:val="29"/>
                <w:szCs w:val="29"/>
                <w:color w:val="auto"/>
                <w:vertAlign w:val="superscript"/>
              </w:rPr>
              <w:t>(4)</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1,540</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$151.92</w:t>
            </w: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634</w:t>
            </w:r>
          </w:p>
        </w:tc>
        <w:tc>
          <w:tcPr>
            <w:tcW w:w="0" w:type="dxa"/>
            <w:vAlign w:val="bottom"/>
          </w:tcPr>
          <w:p>
            <w:pPr>
              <w:spacing w:after="0"/>
              <w:rPr>
                <w:sz w:val="1"/>
                <w:szCs w:val="1"/>
                <w:color w:val="auto"/>
              </w:rPr>
            </w:pPr>
          </w:p>
        </w:tc>
      </w:tr>
      <w:tr>
        <w:trPr>
          <w:trHeight w:val="246"/>
        </w:trPr>
        <w:tc>
          <w:tcPr>
            <w:tcW w:w="38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84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security holders</w:t>
            </w:r>
            <w:r>
              <w:rPr>
                <w:rFonts w:ascii="Arial" w:cs="Arial" w:eastAsia="Arial" w:hAnsi="Arial"/>
                <w:sz w:val="29"/>
                <w:szCs w:val="29"/>
                <w:color w:val="auto"/>
                <w:vertAlign w:val="superscript"/>
              </w:rPr>
              <w:t>(1)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1,187</w:t>
            </w:r>
          </w:p>
        </w:tc>
        <w:tc>
          <w:tcPr>
            <w:tcW w:w="14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344</w:t>
            </w: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2,727</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$151.92</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978</w:t>
            </w:r>
          </w:p>
        </w:tc>
        <w:tc>
          <w:tcPr>
            <w:tcW w:w="0" w:type="dxa"/>
            <w:vAlign w:val="bottom"/>
          </w:tcPr>
          <w:p>
            <w:pPr>
              <w:spacing w:after="0"/>
              <w:rPr>
                <w:sz w:val="1"/>
                <w:szCs w:val="1"/>
                <w:color w:val="auto"/>
              </w:rPr>
            </w:pPr>
          </w:p>
        </w:tc>
      </w:tr>
      <w:tr>
        <w:trPr>
          <w:trHeight w:val="54"/>
        </w:trPr>
        <w:tc>
          <w:tcPr>
            <w:tcW w:w="36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-908050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-908050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-908050</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5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non-voting Profit Units issued by Blizzard Management Feeder, LLC, to employees on behalf of the Company, effective September 13, 2019 in conjunction with the Centerbridge Acquisition. This number also includes shares available for future issuance under the Inducement Plan. See Note 7 of the Audited Financial Statements for a brief description of the material features of the Profits Units and the Inducement Plan.</w:t>
      </w:r>
    </w:p>
    <w:p>
      <w:pPr>
        <w:spacing w:after="0" w:line="22"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weighted-average exercise price does not include shares to be issued in connection with the settlement of RSUs PSUs, or employee stock purchase plan (“ESPP”), as such awards do not have an exercise price.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shares available for future issuance under our equity incentive plan, the inducement plan, and our ESPP.</w:t>
      </w:r>
    </w:p>
    <w:p>
      <w:pPr>
        <w:spacing w:after="0" w:line="4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shares available for issuance under the 2020 Incentive Award Plan and our ESPP. See Note 7 of the Audited Financial Statements for a brief description of the material features of the 2020 Incentive Award Plan and our ESPP.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300" w:right="1420"/>
        <w:spacing w:after="0" w:line="279"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NEOs and all directors and executive officers as a group as of March 28, 2023, unless otherwise indicated.</w:t>
      </w:r>
    </w:p>
    <w:p>
      <w:pPr>
        <w:spacing w:after="0" w:line="63" w:lineRule="exact"/>
        <w:rPr>
          <w:sz w:val="20"/>
          <w:szCs w:val="20"/>
          <w:color w:val="auto"/>
        </w:rPr>
      </w:pPr>
    </w:p>
    <w:p>
      <w:pPr>
        <w:ind w:left="1300" w:right="1320"/>
        <w:spacing w:after="0" w:line="269" w:lineRule="auto"/>
        <w:rPr>
          <w:sz w:val="20"/>
          <w:szCs w:val="20"/>
          <w:color w:val="auto"/>
        </w:rPr>
      </w:pPr>
      <w:r>
        <w:rPr>
          <w:rFonts w:ascii="Arial" w:cs="Arial" w:eastAsia="Arial" w:hAnsi="Arial"/>
          <w:sz w:val="17"/>
          <w:szCs w:val="17"/>
          <w:color w:val="auto"/>
        </w:rPr>
        <w:t>As described in “Certain Relationships and Related Party Transactions,” each LLC Interest (other than LLC Interests held by us) is redeemable from time to time at each holder’s option (subject in certain circumstances to time-based vesting requirements) for, at our election (determined solely by at least two or more of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at least two or more of our independent directors (within the meaning of the Nasdaq rules) who are disinterested), we may effect a direct exchange of such Class A common stock or such cash, as applicable, for such LLC Interests.</w:t>
      </w:r>
    </w:p>
    <w:p>
      <w:pPr>
        <w:spacing w:after="0" w:line="77" w:lineRule="exact"/>
        <w:rPr>
          <w:sz w:val="20"/>
          <w:szCs w:val="20"/>
          <w:color w:val="auto"/>
        </w:rPr>
      </w:pPr>
    </w:p>
    <w:p>
      <w:pPr>
        <w:ind w:left="1300" w:right="1380"/>
        <w:spacing w:after="0" w:line="273" w:lineRule="auto"/>
        <w:rPr>
          <w:sz w:val="20"/>
          <w:szCs w:val="20"/>
          <w:color w:val="auto"/>
        </w:rPr>
      </w:pPr>
      <w:r>
        <w:rPr>
          <w:rFonts w:ascii="Arial" w:cs="Arial" w:eastAsia="Arial" w:hAnsi="Arial"/>
          <w:sz w:val="17"/>
          <w:szCs w:val="17"/>
          <w:color w:val="auto"/>
        </w:rPr>
        <w:t>The Continuing Equity Owners may, subject to certain exceptions, exercise such redemption right for as long as their LLC Interests remain outstanding. See “Certain Relationships and Related Party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March 28, 2023.</w:t>
      </w:r>
    </w:p>
    <w:p>
      <w:pPr>
        <w:spacing w:after="0" w:line="70" w:lineRule="exact"/>
        <w:rPr>
          <w:sz w:val="20"/>
          <w:szCs w:val="20"/>
          <w:color w:val="auto"/>
        </w:rPr>
      </w:pPr>
    </w:p>
    <w:p>
      <w:pPr>
        <w:ind w:left="1300" w:right="1360"/>
        <w:spacing w:after="0" w:line="286" w:lineRule="auto"/>
        <w:rPr>
          <w:sz w:val="20"/>
          <w:szCs w:val="20"/>
          <w:color w:val="auto"/>
        </w:rPr>
      </w:pPr>
      <w:r>
        <w:rPr>
          <w:rFonts w:ascii="Arial" w:cs="Arial" w:eastAsia="Arial" w:hAnsi="Arial"/>
          <w:sz w:val="16"/>
          <w:szCs w:val="16"/>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March 28, 2023 is computed on the basis of 50,000 shares of Series A preferred stock (convertible into 5,306,613 shares of Class A common stock), 8,982,096 shares of our Class A common stock outstanding and 13,053,374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March 28, 2023, are considered outstanding, although these shares are not considered outstanding for purposes of computing the percentage ownership of any other person. Unless otherwise indicated, the address of each beneficial owner listed below is 214 West Huron St.,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Shares of Series A</w:t>
            </w: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 of Class A</w:t>
            </w:r>
          </w:p>
        </w:tc>
        <w:tc>
          <w:tcPr>
            <w:tcW w:w="10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Shares of Class B</w:t>
            </w:r>
          </w:p>
        </w:tc>
        <w:tc>
          <w:tcPr>
            <w:tcW w:w="19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3"/>
              </w:rPr>
              <w:t>Combined</w:t>
            </w:r>
          </w:p>
        </w:tc>
      </w:tr>
      <w:tr>
        <w:trPr>
          <w:trHeight w:val="145"/>
        </w:trPr>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2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Preferred Stock</w:t>
            </w:r>
          </w:p>
        </w:tc>
        <w:tc>
          <w:tcPr>
            <w:tcW w:w="1520" w:type="dxa"/>
            <w:vAlign w:val="bottom"/>
            <w:gridSpan w:val="3"/>
          </w:tcPr>
          <w:p>
            <w:pPr>
              <w:jc w:val="right"/>
              <w:ind w:right="212"/>
              <w:spacing w:after="0" w:line="14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640" w:type="dxa"/>
            <w:vAlign w:val="bottom"/>
            <w:gridSpan w:val="4"/>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Common Stock</w:t>
            </w:r>
          </w:p>
        </w:tc>
        <w:tc>
          <w:tcPr>
            <w:tcW w:w="1980" w:type="dxa"/>
            <w:vAlign w:val="bottom"/>
            <w:gridSpan w:val="2"/>
          </w:tcPr>
          <w:p>
            <w:pPr>
              <w:jc w:val="center"/>
              <w:ind w:right="1340"/>
              <w:spacing w:after="0" w:line="145" w:lineRule="exact"/>
              <w:rPr>
                <w:sz w:val="20"/>
                <w:szCs w:val="20"/>
                <w:color w:val="auto"/>
              </w:rPr>
            </w:pPr>
            <w:r>
              <w:rPr>
                <w:rFonts w:ascii="Arial" w:cs="Arial" w:eastAsia="Arial" w:hAnsi="Arial"/>
                <w:sz w:val="14"/>
                <w:szCs w:val="14"/>
                <w:b w:val="1"/>
                <w:bCs w:val="1"/>
                <w:color w:val="auto"/>
                <w:w w:val="91"/>
              </w:rPr>
              <w:t>Voting</w:t>
            </w:r>
          </w:p>
        </w:tc>
      </w:tr>
      <w:tr>
        <w:trPr>
          <w:trHeight w:val="242"/>
        </w:trPr>
        <w:tc>
          <w:tcPr>
            <w:tcW w:w="13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120" w:type="dxa"/>
            <w:vAlign w:val="bottom"/>
          </w:tcPr>
          <w:p>
            <w:pPr>
              <w:spacing w:after="0"/>
              <w:rPr>
                <w:sz w:val="21"/>
                <w:szCs w:val="21"/>
                <w:color w:val="auto"/>
              </w:rPr>
            </w:pPr>
          </w:p>
        </w:tc>
        <w:tc>
          <w:tcPr>
            <w:tcW w:w="1520" w:type="dxa"/>
            <w:vAlign w:val="bottom"/>
            <w:tcBorders>
              <w:bottom w:val="single" w:sz="8" w:color="auto"/>
            </w:tcBorders>
            <w:gridSpan w:val="3"/>
          </w:tcPr>
          <w:p>
            <w:pPr>
              <w:ind w:left="80"/>
              <w:spacing w:after="0" w:line="242" w:lineRule="exact"/>
              <w:rPr>
                <w:sz w:val="20"/>
                <w:szCs w:val="20"/>
                <w:color w:val="auto"/>
              </w:rPr>
            </w:pPr>
            <w:r>
              <w:rPr>
                <w:rFonts w:ascii="Arial" w:cs="Arial" w:eastAsia="Arial" w:hAnsi="Arial"/>
                <w:sz w:val="14"/>
                <w:szCs w:val="14"/>
                <w:b w:val="1"/>
                <w:bCs w:val="1"/>
                <w:color w:val="auto"/>
                <w:w w:val="96"/>
              </w:rPr>
              <w:t>Beneficially Owned</w:t>
            </w:r>
            <w:r>
              <w:rPr>
                <w:rFonts w:ascii="Arial" w:cs="Arial" w:eastAsia="Arial" w:hAnsi="Arial"/>
                <w:sz w:val="23"/>
                <w:szCs w:val="23"/>
                <w:b w:val="1"/>
                <w:bCs w:val="1"/>
                <w:color w:val="auto"/>
                <w:w w:val="96"/>
                <w:vertAlign w:val="superscript"/>
              </w:rPr>
              <w:t>(1)</w:t>
            </w:r>
          </w:p>
        </w:tc>
        <w:tc>
          <w:tcPr>
            <w:tcW w:w="100" w:type="dxa"/>
            <w:vAlign w:val="bottom"/>
          </w:tcPr>
          <w:p>
            <w:pPr>
              <w:spacing w:after="0"/>
              <w:rPr>
                <w:sz w:val="21"/>
                <w:szCs w:val="21"/>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Power</w:t>
            </w:r>
            <w:r>
              <w:rPr>
                <w:rFonts w:ascii="Arial" w:cs="Arial" w:eastAsia="Arial" w:hAnsi="Arial"/>
                <w:sz w:val="23"/>
                <w:szCs w:val="23"/>
                <w:b w:val="1"/>
                <w:bCs w:val="1"/>
                <w:color w:val="auto"/>
                <w:w w:val="88"/>
                <w:vertAlign w:val="superscript"/>
              </w:rPr>
              <w:t>(2)</w:t>
            </w:r>
          </w:p>
        </w:tc>
        <w:tc>
          <w:tcPr>
            <w:tcW w:w="1300" w:type="dxa"/>
            <w:vAlign w:val="bottom"/>
          </w:tcPr>
          <w:p>
            <w:pPr>
              <w:spacing w:after="0"/>
              <w:rPr>
                <w:sz w:val="21"/>
                <w:szCs w:val="21"/>
                <w:color w:val="auto"/>
              </w:rPr>
            </w:pPr>
          </w:p>
        </w:tc>
      </w:tr>
      <w:tr>
        <w:trPr>
          <w:trHeight w:val="225"/>
        </w:trPr>
        <w:tc>
          <w:tcPr>
            <w:tcW w:w="1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1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19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0"/>
              </w:rPr>
              <w:t>Percentage</w:t>
            </w:r>
          </w:p>
        </w:tc>
      </w:tr>
      <w:tr>
        <w:trPr>
          <w:trHeight w:val="53"/>
        </w:trPr>
        <w:tc>
          <w:tcPr>
            <w:tcW w:w="1300" w:type="dxa"/>
            <w:vAlign w:val="bottom"/>
          </w:tcPr>
          <w:p>
            <w:pPr>
              <w:spacing w:after="0"/>
              <w:rPr>
                <w:sz w:val="4"/>
                <w:szCs w:val="4"/>
                <w:color w:val="auto"/>
              </w:rPr>
            </w:pPr>
          </w:p>
        </w:tc>
        <w:tc>
          <w:tcPr>
            <w:tcW w:w="30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60" w:type="dxa"/>
            <w:vAlign w:val="bottom"/>
          </w:tcPr>
          <w:p>
            <w:pPr>
              <w:ind w:left="180"/>
              <w:spacing w:after="0" w:line="324" w:lineRule="exact"/>
              <w:rPr>
                <w:sz w:val="20"/>
                <w:szCs w:val="20"/>
                <w:color w:val="auto"/>
              </w:rPr>
            </w:pPr>
            <w:r>
              <w:rPr>
                <w:rFonts w:ascii="Arial" w:cs="Arial" w:eastAsia="Arial" w:hAnsi="Arial"/>
                <w:sz w:val="18"/>
                <w:szCs w:val="18"/>
                <w:color w:val="auto"/>
              </w:rPr>
              <w:t>Centerbridge</w:t>
            </w:r>
            <w:r>
              <w:rPr>
                <w:rFonts w:ascii="Arial" w:cs="Arial" w:eastAsia="Arial" w:hAnsi="Arial"/>
                <w:sz w:val="29"/>
                <w:szCs w:val="29"/>
                <w:color w:val="auto"/>
                <w:vertAlign w:val="superscript"/>
              </w:rPr>
              <w:t>(3)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4,179,850</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5,386,178</w:t>
            </w:r>
          </w:p>
        </w:tc>
        <w:tc>
          <w:tcPr>
            <w:tcW w:w="10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NVX Holdings</w:t>
            </w:r>
            <w:r>
              <w:rPr>
                <w:rFonts w:ascii="Arial" w:cs="Arial" w:eastAsia="Arial" w:hAnsi="Arial"/>
                <w:sz w:val="29"/>
                <w:szCs w:val="29"/>
                <w:color w:val="auto"/>
                <w:vertAlign w:val="superscript"/>
              </w:rPr>
              <w:t>(4)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65,687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6,181,453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300" w:type="dxa"/>
            <w:vAlign w:val="bottom"/>
          </w:tcPr>
          <w:p>
            <w:pPr>
              <w:spacing w:after="0"/>
              <w:rPr>
                <w:sz w:val="24"/>
                <w:szCs w:val="24"/>
                <w:color w:val="auto"/>
              </w:rPr>
            </w:pPr>
          </w:p>
        </w:tc>
      </w:tr>
      <w:tr>
        <w:trPr>
          <w:trHeight w:val="246"/>
        </w:trPr>
        <w:tc>
          <w:tcPr>
            <w:tcW w:w="1300" w:type="dxa"/>
            <w:vAlign w:val="bottom"/>
          </w:tcPr>
          <w:p>
            <w:pPr>
              <w:spacing w:after="0"/>
              <w:rPr>
                <w:sz w:val="21"/>
                <w:szCs w:val="21"/>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Blizzard Management Feeder,</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94"/>
        </w:trPr>
        <w:tc>
          <w:tcPr>
            <w:tcW w:w="1300" w:type="dxa"/>
            <w:vAlign w:val="bottom"/>
          </w:tcPr>
          <w:p>
            <w:pPr>
              <w:spacing w:after="0"/>
              <w:rPr>
                <w:sz w:val="24"/>
                <w:szCs w:val="24"/>
                <w:color w:val="auto"/>
              </w:rPr>
            </w:pPr>
          </w:p>
        </w:tc>
        <w:tc>
          <w:tcPr>
            <w:tcW w:w="3060" w:type="dxa"/>
            <w:vAlign w:val="bottom"/>
          </w:tcPr>
          <w:p>
            <w:pPr>
              <w:ind w:left="360"/>
              <w:spacing w:after="0" w:line="294" w:lineRule="exact"/>
              <w:rPr>
                <w:sz w:val="20"/>
                <w:szCs w:val="20"/>
                <w:color w:val="auto"/>
              </w:rPr>
            </w:pPr>
            <w:r>
              <w:rPr>
                <w:rFonts w:ascii="Arial" w:cs="Arial" w:eastAsia="Arial" w:hAnsi="Arial"/>
                <w:sz w:val="34"/>
                <w:szCs w:val="34"/>
                <w:color w:val="auto"/>
                <w:vertAlign w:val="subscript"/>
              </w:rPr>
              <w:t>LLC</w:t>
            </w:r>
            <w:r>
              <w:rPr>
                <w:rFonts w:ascii="Arial" w:cs="Arial" w:eastAsia="Arial" w:hAnsi="Arial"/>
                <w:sz w:val="15"/>
                <w:szCs w:val="15"/>
                <w:color w:val="auto"/>
              </w:rPr>
              <w:t>(5)(6)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1,430,798</w:t>
            </w:r>
          </w:p>
        </w:tc>
        <w:tc>
          <w:tcPr>
            <w:tcW w:w="10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w w:val="93"/>
              </w:rPr>
              <w:t>Anthem Insurance Companies, Inc.</w:t>
            </w:r>
            <w:r>
              <w:rPr>
                <w:rFonts w:ascii="Arial" w:cs="Arial" w:eastAsia="Arial" w:hAnsi="Arial"/>
                <w:sz w:val="29"/>
                <w:szCs w:val="29"/>
                <w:color w:val="auto"/>
                <w:w w:val="93"/>
                <w:vertAlign w:val="superscript"/>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NEOs and Directors</w:t>
            </w: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60" w:type="dxa"/>
            <w:vAlign w:val="bottom"/>
          </w:tcPr>
          <w:p>
            <w:pPr>
              <w:ind w:left="180"/>
              <w:spacing w:after="0" w:line="324" w:lineRule="exact"/>
              <w:rPr>
                <w:sz w:val="20"/>
                <w:szCs w:val="20"/>
                <w:color w:val="auto"/>
              </w:rPr>
            </w:pPr>
            <w:r>
              <w:rPr>
                <w:rFonts w:ascii="Arial" w:cs="Arial" w:eastAsia="Arial" w:hAnsi="Arial"/>
                <w:sz w:val="18"/>
                <w:szCs w:val="18"/>
                <w:color w:val="auto"/>
              </w:rPr>
              <w:t>Clinton P. Jones</w:t>
            </w:r>
            <w:r>
              <w:rPr>
                <w:rFonts w:ascii="Arial" w:cs="Arial" w:eastAsia="Arial" w:hAnsi="Arial"/>
                <w:sz w:val="29"/>
                <w:szCs w:val="29"/>
                <w:color w:val="auto"/>
                <w:vertAlign w:val="superscript"/>
              </w:rPr>
              <w:t>(4)(6)(8)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ind w:left="220"/>
              <w:spacing w:after="0"/>
              <w:rPr>
                <w:sz w:val="20"/>
                <w:szCs w:val="20"/>
                <w:color w:val="auto"/>
              </w:rPr>
            </w:pPr>
            <w:r>
              <w:rPr>
                <w:rFonts w:ascii="Arial" w:cs="Arial" w:eastAsia="Arial" w:hAnsi="Arial"/>
                <w:sz w:val="18"/>
                <w:szCs w:val="18"/>
                <w:color w:val="auto"/>
                <w:w w:val="87"/>
              </w:rPr>
              <w:t>73,159</w:t>
            </w:r>
          </w:p>
        </w:tc>
        <w:tc>
          <w:tcPr>
            <w:tcW w:w="12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6,389,620</w:t>
            </w:r>
          </w:p>
        </w:tc>
        <w:tc>
          <w:tcPr>
            <w:tcW w:w="10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Vijay Kotte</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377,778</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Jason Schulz</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133,333</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30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Shane Cruz</w:t>
            </w:r>
            <w:r>
              <w:rPr>
                <w:rFonts w:ascii="Arial" w:cs="Arial" w:eastAsia="Arial" w:hAnsi="Arial"/>
                <w:sz w:val="29"/>
                <w:szCs w:val="29"/>
                <w:color w:val="auto"/>
                <w:vertAlign w:val="superscript"/>
              </w:rPr>
              <w:t>(6)(9)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44,170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159,987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-2819400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-2819400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-2819400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-2819400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-2819400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-2819400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-2819400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6" w:name="page37"/>
    <w:bookmarkEnd w:id="36"/>
    <w:tbl>
      <w:tblPr>
        <w:tblLayout w:type="fixed"/>
        <w:tblInd w:w="30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b w:val="1"/>
                <w:bCs w:val="1"/>
                <w:color w:val="auto"/>
              </w:rPr>
              <w:t>Shares of Series A</w:t>
            </w: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100" w:type="dxa"/>
            <w:vAlign w:val="bottom"/>
          </w:tcPr>
          <w:p>
            <w:pPr>
              <w:spacing w:after="0"/>
              <w:rPr>
                <w:sz w:val="24"/>
                <w:szCs w:val="2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Shares of Class B</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Combined</w:t>
            </w:r>
          </w:p>
        </w:tc>
      </w:tr>
      <w:tr>
        <w:trPr>
          <w:trHeight w:val="145"/>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4"/>
          </w:tcPr>
          <w:p>
            <w:pPr>
              <w:ind w:left="160"/>
              <w:spacing w:after="0" w:line="145" w:lineRule="exact"/>
              <w:rPr>
                <w:sz w:val="20"/>
                <w:szCs w:val="20"/>
                <w:color w:val="auto"/>
              </w:rPr>
            </w:pPr>
            <w:r>
              <w:rPr>
                <w:rFonts w:ascii="Arial" w:cs="Arial" w:eastAsia="Arial" w:hAnsi="Arial"/>
                <w:sz w:val="14"/>
                <w:szCs w:val="14"/>
                <w:b w:val="1"/>
                <w:bCs w:val="1"/>
                <w:color w:val="auto"/>
              </w:rPr>
              <w:t>Preferred Stock</w:t>
            </w:r>
          </w:p>
        </w:tc>
        <w:tc>
          <w:tcPr>
            <w:tcW w:w="15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2"/>
                <w:szCs w:val="12"/>
                <w:color w:val="auto"/>
              </w:rPr>
            </w:pPr>
          </w:p>
        </w:tc>
        <w:tc>
          <w:tcPr>
            <w:tcW w:w="1640" w:type="dxa"/>
            <w:vAlign w:val="bottom"/>
            <w:gridSpan w:val="4"/>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Common Stock</w:t>
            </w: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Voting</w:t>
            </w:r>
          </w:p>
        </w:tc>
      </w:tr>
      <w:tr>
        <w:trPr>
          <w:trHeight w:val="242"/>
        </w:trPr>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Beneficially Owned</w:t>
            </w:r>
          </w:p>
        </w:tc>
        <w:tc>
          <w:tcPr>
            <w:tcW w:w="100" w:type="dxa"/>
            <w:vAlign w:val="bottom"/>
          </w:tcPr>
          <w:p>
            <w:pPr>
              <w:spacing w:after="0"/>
              <w:rPr>
                <w:sz w:val="21"/>
                <w:szCs w:val="21"/>
                <w:color w:val="auto"/>
              </w:rPr>
            </w:pPr>
          </w:p>
        </w:tc>
        <w:tc>
          <w:tcPr>
            <w:tcW w:w="1520" w:type="dxa"/>
            <w:vAlign w:val="bottom"/>
            <w:tcBorders>
              <w:bottom w:val="single" w:sz="8" w:color="auto"/>
            </w:tcBorders>
            <w:gridSpan w:val="3"/>
          </w:tcPr>
          <w:p>
            <w:pPr>
              <w:jc w:val="center"/>
              <w:spacing w:after="0" w:line="242" w:lineRule="exact"/>
              <w:rPr>
                <w:sz w:val="20"/>
                <w:szCs w:val="20"/>
                <w:color w:val="auto"/>
              </w:rPr>
            </w:pPr>
            <w:r>
              <w:rPr>
                <w:rFonts w:ascii="Arial" w:cs="Arial" w:eastAsia="Arial" w:hAnsi="Arial"/>
                <w:sz w:val="14"/>
                <w:szCs w:val="14"/>
                <w:b w:val="1"/>
                <w:bCs w:val="1"/>
                <w:color w:val="auto"/>
                <w:w w:val="91"/>
              </w:rPr>
              <w:t>Beneficially Owned</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21"/>
                <w:szCs w:val="21"/>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Power</w:t>
            </w:r>
            <w:r>
              <w:rPr>
                <w:rFonts w:ascii="Arial" w:cs="Arial" w:eastAsia="Arial" w:hAnsi="Arial"/>
                <w:sz w:val="23"/>
                <w:szCs w:val="23"/>
                <w:b w:val="1"/>
                <w:bCs w:val="1"/>
                <w:color w:val="auto"/>
                <w:w w:val="88"/>
                <w:vertAlign w:val="superscript"/>
              </w:rPr>
              <w:t>(2)</w:t>
            </w:r>
          </w:p>
        </w:tc>
      </w:tr>
      <w:tr>
        <w:trPr>
          <w:trHeight w:val="224"/>
        </w:trPr>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1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53"/>
        </w:trPr>
        <w:tc>
          <w:tcPr>
            <w:tcW w:w="15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31"/>
        </w:trPr>
        <w:tc>
          <w:tcPr>
            <w:tcW w:w="3060" w:type="dxa"/>
            <w:vAlign w:val="bottom"/>
            <w:gridSpan w:val="2"/>
            <w:shd w:val="clear" w:color="auto" w:fill="CCEEFF"/>
          </w:tcPr>
          <w:p>
            <w:pPr>
              <w:ind w:left="180"/>
              <w:spacing w:after="0" w:line="331" w:lineRule="exact"/>
              <w:rPr>
                <w:sz w:val="20"/>
                <w:szCs w:val="20"/>
                <w:color w:val="auto"/>
              </w:rPr>
            </w:pPr>
            <w:r>
              <w:rPr>
                <w:rFonts w:ascii="Arial" w:cs="Arial" w:eastAsia="Arial" w:hAnsi="Arial"/>
                <w:sz w:val="18"/>
                <w:szCs w:val="18"/>
                <w:color w:val="auto"/>
              </w:rPr>
              <w:t>Brandon Cruz</w:t>
            </w:r>
            <w:r>
              <w:rPr>
                <w:rFonts w:ascii="Arial" w:cs="Arial" w:eastAsia="Arial" w:hAnsi="Arial"/>
                <w:sz w:val="29"/>
                <w:szCs w:val="29"/>
                <w:color w:val="auto"/>
                <w:vertAlign w:val="superscript"/>
              </w:rPr>
              <w:t>(4)(6)(10)</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6,389,620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324"/>
        </w:trPr>
        <w:tc>
          <w:tcPr>
            <w:tcW w:w="306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Joseph G. Flanagan</w:t>
            </w:r>
            <w:r>
              <w:rPr>
                <w:rFonts w:ascii="Arial" w:cs="Arial" w:eastAsia="Arial" w:hAnsi="Arial"/>
                <w:sz w:val="29"/>
                <w:szCs w:val="29"/>
                <w:color w:val="auto"/>
                <w:vertAlign w:val="superscript"/>
              </w:rPr>
              <w:t>(11)</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26,729</w:t>
            </w:r>
          </w:p>
        </w:tc>
        <w:tc>
          <w:tcPr>
            <w:tcW w:w="120" w:type="dxa"/>
            <w:vAlign w:val="bottom"/>
          </w:tcPr>
          <w:p>
            <w:pPr>
              <w:spacing w:after="0"/>
              <w:rPr>
                <w:sz w:val="24"/>
                <w:szCs w:val="24"/>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324"/>
        </w:trPr>
        <w:tc>
          <w:tcPr>
            <w:tcW w:w="306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Karolina Hilu, M.D.</w:t>
            </w:r>
            <w:r>
              <w:rPr>
                <w:rFonts w:ascii="Arial" w:cs="Arial" w:eastAsia="Arial" w:hAnsi="Arial"/>
                <w:sz w:val="29"/>
                <w:szCs w:val="29"/>
                <w:color w:val="auto"/>
                <w:vertAlign w:val="superscript"/>
              </w:rPr>
              <w:t>(12)</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Jeremy W. Gelber</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24"/>
        </w:trPr>
        <w:tc>
          <w:tcPr>
            <w:tcW w:w="306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David Fisher</w:t>
            </w:r>
            <w:r>
              <w:rPr>
                <w:rFonts w:ascii="Arial" w:cs="Arial" w:eastAsia="Arial" w:hAnsi="Arial"/>
                <w:sz w:val="29"/>
                <w:szCs w:val="29"/>
                <w:color w:val="auto"/>
                <w:vertAlign w:val="superscript"/>
              </w:rPr>
              <w:t>(13)</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Christopher Litchford</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24"/>
        </w:trPr>
        <w:tc>
          <w:tcPr>
            <w:tcW w:w="306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Alexander E. Timm</w:t>
            </w:r>
            <w:r>
              <w:rPr>
                <w:rFonts w:ascii="Arial" w:cs="Arial" w:eastAsia="Arial" w:hAnsi="Arial"/>
                <w:sz w:val="29"/>
                <w:szCs w:val="29"/>
                <w:color w:val="auto"/>
                <w:vertAlign w:val="superscript"/>
              </w:rPr>
              <w:t>(14)</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52"/>
        </w:trPr>
        <w:tc>
          <w:tcPr>
            <w:tcW w:w="306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All directors and executive officers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4"/>
        </w:trPr>
        <w:tc>
          <w:tcPr>
            <w:tcW w:w="306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a group (12 individuals)</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858,965</w:t>
            </w: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color w:val="auto"/>
              </w:rPr>
              <w:t>12,949,159</w:t>
            </w:r>
          </w:p>
        </w:tc>
        <w:tc>
          <w:tcPr>
            <w:tcW w:w="10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-1765300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-1765300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-1765300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-1765300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-1765300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-1765300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-1765300</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right="319" w:hanging="348"/>
        <w:spacing w:after="0" w:line="238"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beneficial ownership of LLC Interests or Class B shares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20" w:lineRule="exact"/>
        <w:rPr>
          <w:rFonts w:ascii="Arial" w:cs="Arial" w:eastAsia="Arial" w:hAnsi="Arial"/>
          <w:sz w:val="14"/>
          <w:szCs w:val="14"/>
          <w:color w:val="auto"/>
        </w:rPr>
      </w:pPr>
    </w:p>
    <w:p>
      <w:pPr>
        <w:ind w:left="640" w:right="339" w:hanging="348"/>
        <w:spacing w:after="0" w:line="229"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percentage of voting power of our preferred stock, Class A common stock and Class B common stock voting as a single class. The holders of our preferred stock are able to vote along with the Class A common stockholders on an as-converted basis.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23" w:lineRule="exact"/>
        <w:rPr>
          <w:rFonts w:ascii="Arial" w:cs="Arial" w:eastAsia="Arial" w:hAnsi="Arial"/>
          <w:sz w:val="14"/>
          <w:szCs w:val="14"/>
          <w:color w:val="auto"/>
        </w:rPr>
      </w:pPr>
    </w:p>
    <w:p>
      <w:pPr>
        <w:ind w:left="640" w:right="319" w:hanging="348"/>
        <w:spacing w:after="0" w:line="239"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13D/A filed on December 12, 2022. Consists of (i) 2,712,197 shares of Class A common stock held by CB Blizzard Lower Holdings A, L.P., (ii) 1,361,522 shares of Class A common stock held by CB Blizzard Holdings C, L.P., and (iii) 5,386,178 LLC Interests (and associated shares of Class B common stock) held by CB Blizzard Lower Holdings B, L.P. CCP GP is the general partner of CB Blizzard Holdings C, L.P. and may be deemed to share beneficial ownership of the securities held of record by CB Blizzard Holdings C, L.P. CCP GP is also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w:t>
      </w:r>
    </w:p>
    <w:p>
      <w:pPr>
        <w:spacing w:after="0" w:line="6" w:lineRule="exact"/>
        <w:rPr>
          <w:rFonts w:ascii="Arial" w:cs="Arial" w:eastAsia="Arial" w:hAnsi="Arial"/>
          <w:sz w:val="13"/>
          <w:szCs w:val="13"/>
          <w:color w:val="auto"/>
        </w:rPr>
      </w:pPr>
    </w:p>
    <w:p>
      <w:pPr>
        <w:ind w:left="640" w:right="399"/>
        <w:spacing w:after="0" w:line="229" w:lineRule="auto"/>
        <w:rPr>
          <w:rFonts w:ascii="Arial" w:cs="Arial" w:eastAsia="Arial" w:hAnsi="Arial"/>
          <w:sz w:val="13"/>
          <w:szCs w:val="13"/>
          <w:color w:val="auto"/>
        </w:rPr>
      </w:pPr>
      <w:r>
        <w:rPr>
          <w:rFonts w:ascii="Arial" w:cs="Arial" w:eastAsia="Arial" w:hAnsi="Arial"/>
          <w:sz w:val="14"/>
          <w:szCs w:val="14"/>
          <w:color w:val="auto"/>
        </w:rPr>
        <w:t>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21" w:lineRule="exact"/>
        <w:rPr>
          <w:rFonts w:ascii="Arial" w:cs="Arial" w:eastAsia="Arial" w:hAnsi="Arial"/>
          <w:sz w:val="13"/>
          <w:szCs w:val="13"/>
          <w:color w:val="auto"/>
        </w:rPr>
      </w:pPr>
    </w:p>
    <w:p>
      <w:pPr>
        <w:ind w:left="640" w:right="319" w:hanging="348"/>
        <w:spacing w:after="0" w:line="228"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solely on information obtained from a Schedule 13D filed on November 25, 2022: consists of (i) 6,178,532 LLC Interests (and associated shares of Class B common stock) held by NVX Holdings, Inc., (ii) 53,820 shares of Class A common stock held by NVX Holdings, Inc., (iii) 2,921 LLC Interests (and associated shares of Class B common stock) held by BCCJ, LLC and (iv) 11,867 shares of Class A common stock held by BCCJ, LLC. Clinton P. Jones and Brandon M. Cruz are the Chief Executive Officer and President of NVX Holdings, respectively, are members of the Board of Managers of BCCJ, LLC, and share voting and investment control over the shares held by NVX Holdings, Inc. and BCCJ, LLC. The business address of each NVX Holdings, Inc. and BCCJ, LLC are c/o NVS Holdings, Inc., 214 West Huron Street, Chicago, Illinois 60654.</w:t>
      </w:r>
    </w:p>
    <w:p>
      <w:pPr>
        <w:spacing w:after="0" w:line="22" w:lineRule="exact"/>
        <w:rPr>
          <w:rFonts w:ascii="Arial" w:cs="Arial" w:eastAsia="Arial" w:hAnsi="Arial"/>
          <w:sz w:val="14"/>
          <w:szCs w:val="14"/>
          <w:color w:val="auto"/>
        </w:rPr>
      </w:pPr>
    </w:p>
    <w:p>
      <w:pPr>
        <w:ind w:left="640" w:right="839" w:hanging="348"/>
        <w:spacing w:after="0" w:line="25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1,430,798 LLC Interests (and associated shares of Class B common stock), held by Blizzard Management Feeder, LLC (“Feeder”) and directly held by Feeder for the benefit of Feeder's members.</w:t>
      </w:r>
    </w:p>
    <w:p>
      <w:pPr>
        <w:spacing w:after="0" w:line="11" w:lineRule="exact"/>
        <w:rPr>
          <w:rFonts w:ascii="Arial" w:cs="Arial" w:eastAsia="Arial" w:hAnsi="Arial"/>
          <w:sz w:val="14"/>
          <w:szCs w:val="14"/>
          <w:color w:val="auto"/>
        </w:rPr>
      </w:pPr>
    </w:p>
    <w:p>
      <w:pPr>
        <w:ind w:left="640" w:right="319" w:hanging="348"/>
        <w:spacing w:after="0" w:line="251"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214 West Huron Street, Chicago, Illinois 60654.</w:t>
      </w:r>
    </w:p>
    <w:p>
      <w:pPr>
        <w:spacing w:after="0" w:line="14" w:lineRule="exact"/>
        <w:rPr>
          <w:rFonts w:ascii="Arial" w:cs="Arial" w:eastAsia="Arial" w:hAnsi="Arial"/>
          <w:sz w:val="13"/>
          <w:szCs w:val="13"/>
          <w:color w:val="auto"/>
        </w:rPr>
      </w:pPr>
    </w:p>
    <w:p>
      <w:pPr>
        <w:ind w:left="640" w:right="559" w:hanging="348"/>
        <w:spacing w:after="0" w:line="248"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Anthem Insurance Companies, Inc. (“Anthem”) currently holds 35,000 shares of preferred stock (“Anthem’s Preferred Stock”) which is convertible into Class A common stock of the Company. As of the Record Date, Anthem’s Preferred Stock would be convertible into 3,714,629 shares of Class A common stock. However, pursuant to the Certificate of Designations of Series A Convertible Perpetual Preferred Stock, Anthem’s voting rights shall not exceed 9.99% of the issued and outstanding shares with voting rights. Accordingly, in order to prevent exceeding the voting cap, Anthem’s Preferred Stock is currently convertible into 2,194,252 shares of Class A common stock and 3,112,361 is convertible into Series A-1 Convertible Non-Voting Perpetual Preferred Stock.</w:t>
      </w:r>
    </w:p>
    <w:p>
      <w:pPr>
        <w:spacing w:after="0" w:line="18" w:lineRule="exact"/>
        <w:rPr>
          <w:rFonts w:ascii="Arial" w:cs="Arial" w:eastAsia="Arial" w:hAnsi="Arial"/>
          <w:sz w:val="13"/>
          <w:szCs w:val="13"/>
          <w:color w:val="auto"/>
        </w:rPr>
      </w:pPr>
    </w:p>
    <w:p>
      <w:pPr>
        <w:ind w:left="640" w:right="359" w:hanging="348"/>
        <w:spacing w:after="0" w:line="264"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208,167 LLC Interests (and associated shares of Class B common stock) directly held by Feeder for the benefit of Mr. Jones. Also includes (i) 4,967 Class A common shares and (ii) 2,508 stock options, each directly owned by Mr. Jones. Also includes the numbers discussed in Footnote 4 for NVX Holdings, Inc. and BCCJ, LLC due to Mr. Jones' affiliation with such entities.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479" w:hanging="348"/>
        <w:spacing w:after="0" w:line="23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73,793 LLC Interests (and associated shares of Class B common stock) directly held by Feeder for the benefit of Shane E. Cruz 2020 Irrevocable Trust dated June 16, 2020, of which Mr. Cruz is trustee, and (ii) 86,193 LLC Interests (and associated shares of Class B common stock) directly held by Feeder for the benefit of Mr. Cruz. Also includes (i) 42,446 Class A common stock and (ii) 1,724 stock options.</w:t>
      </w:r>
    </w:p>
    <w:p>
      <w:pPr>
        <w:spacing w:after="0" w:line="22" w:lineRule="exact"/>
        <w:rPr>
          <w:rFonts w:ascii="Arial" w:cs="Arial" w:eastAsia="Arial" w:hAnsi="Arial"/>
          <w:sz w:val="14"/>
          <w:szCs w:val="14"/>
          <w:color w:val="auto"/>
        </w:rPr>
      </w:pPr>
    </w:p>
    <w:p>
      <w:pPr>
        <w:ind w:left="640" w:right="399" w:hanging="348"/>
        <w:spacing w:after="0" w:line="264"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208,167 LLC Interests (and associated shares of Class B common stock) directly held by Feeder for the benefit of Mr. Cruz. Also includes (i) 4,967 Class A common shares and (ii) 2,508 stock options, each directly owned by Mr. Cruz. Also includes the numbers discussed in Footnote 4 for NVX Holdings, Inc. and BCCJ, LLC due to Mr. Cruz’s affiliation with such entities.</w:t>
      </w:r>
    </w:p>
    <w:p>
      <w:pPr>
        <w:spacing w:after="0" w:line="6" w:lineRule="exact"/>
        <w:rPr>
          <w:rFonts w:ascii="Arial" w:cs="Arial" w:eastAsia="Arial" w:hAnsi="Arial"/>
          <w:sz w:val="13"/>
          <w:szCs w:val="13"/>
          <w:color w:val="auto"/>
        </w:rPr>
      </w:pPr>
    </w:p>
    <w:p>
      <w:pPr>
        <w:ind w:left="640" w:right="419" w:hanging="348"/>
        <w:spacing w:after="0" w:line="281"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(i) 20,602 shares of Class A common stock, (ii) 4,966 LLC Interests (and associated shares of Class B common stock) directly held by Feeder for the benefit of Mr. Flanagan, and (iii) 6,127 restricted stock units vesting within 60 days of March 28, 2023.</w:t>
      </w:r>
    </w:p>
    <w:p>
      <w:pPr>
        <w:ind w:left="640" w:hanging="348"/>
        <w:spacing w:after="0"/>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(i) 1,169 shares of Class A common stock and (ii) 3,508 restricted stock units vesting within 60 days of March 28, 2023.</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(i) 52,617 shares of Class A common stock and (ii) 6,127 restricted stock units vesting within 60 days of March 28, 2023.</w:t>
      </w:r>
    </w:p>
    <w:p>
      <w:pPr>
        <w:spacing w:after="0" w:line="53" w:lineRule="exact"/>
        <w:rPr>
          <w:rFonts w:ascii="Arial" w:cs="Arial" w:eastAsia="Arial" w:hAnsi="Arial"/>
          <w:sz w:val="13"/>
          <w:szCs w:val="13"/>
          <w:color w:val="auto"/>
        </w:rPr>
      </w:pPr>
    </w:p>
    <w:p>
      <w:pPr>
        <w:ind w:left="640" w:right="419" w:hanging="348"/>
        <w:spacing w:after="0" w:line="281"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(i) 19,713 shares of Class A common stock, (ii) 4,966 LLC Interests (and associated shares of Class B common stock) directly held by Feeder for the benefit of Mr. Flanagan, and (iii) 6,127 restricted stock units vesting within 60 days of March 28, 2023.</w:t>
      </w:r>
    </w:p>
    <w:p>
      <w:pPr>
        <w:spacing w:after="0" w:line="1" w:lineRule="exact"/>
        <w:rPr>
          <w:sz w:val="20"/>
          <w:szCs w:val="20"/>
          <w:color w:val="auto"/>
        </w:rPr>
      </w:pPr>
    </w:p>
    <w:p>
      <w:pPr>
        <w:ind w:left="640" w:hanging="34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300" w:right="299"/>
        <w:spacing w:after="0" w:line="284"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63"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The following are certain current transactions, arrangements and relationships with our directors, executive officers and stockholders owning 5% or more of our outstanding common stock, or any member of the immediate family of any of the foregoing persons, other than equity and other compensation, termination, change in control and other arrangements, which are described under “Executive and Director Compensation.”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7" w:lineRule="exact"/>
        <w:rPr>
          <w:sz w:val="20"/>
          <w:szCs w:val="20"/>
          <w:color w:val="auto"/>
        </w:rPr>
      </w:pPr>
    </w:p>
    <w:p>
      <w:pPr>
        <w:ind w:left="300" w:right="479"/>
        <w:spacing w:after="0" w:line="287" w:lineRule="auto"/>
        <w:rPr>
          <w:sz w:val="20"/>
          <w:szCs w:val="20"/>
          <w:color w:val="auto"/>
        </w:rPr>
      </w:pPr>
      <w:r>
        <w:rPr>
          <w:rFonts w:ascii="Arial" w:cs="Arial" w:eastAsia="Arial" w:hAnsi="Arial"/>
          <w:sz w:val="16"/>
          <w:szCs w:val="16"/>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site in Lindon, Utah. Our lease agreement with Wilson Tech 5, LLC expires ten years after the May 12, 2020 commencement date;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year ended December 31, 2022, we made aggregate lease payments of $3.9 million under the RPT Leases. For the year ended December 31, 2021, we made aggregate lease payments of $1.3 million under the RPT Leases. Assuming none of the RPT Leases are terminated early, the remaining amounts due under the RPT Leases in aggregate is expected to be $52.5 million.</w:t>
      </w:r>
    </w:p>
    <w:p>
      <w:pPr>
        <w:spacing w:after="0" w:line="60" w:lineRule="exact"/>
        <w:rPr>
          <w:sz w:val="20"/>
          <w:szCs w:val="20"/>
          <w:color w:val="auto"/>
        </w:rPr>
      </w:pPr>
    </w:p>
    <w:p>
      <w:pPr>
        <w:ind w:left="300" w:right="559"/>
        <w:spacing w:after="0" w:line="286" w:lineRule="auto"/>
        <w:rPr>
          <w:sz w:val="20"/>
          <w:szCs w:val="20"/>
          <w:color w:val="auto"/>
        </w:rPr>
      </w:pPr>
      <w:r>
        <w:rPr>
          <w:rFonts w:ascii="Arial" w:cs="Arial" w:eastAsia="Arial" w:hAnsi="Arial"/>
          <w:sz w:val="17"/>
          <w:szCs w:val="17"/>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79" w:lineRule="auto"/>
        <w:rPr>
          <w:sz w:val="20"/>
          <w:szCs w:val="20"/>
          <w:color w:val="auto"/>
        </w:rPr>
      </w:pPr>
      <w:r>
        <w:rPr>
          <w:rFonts w:ascii="Arial" w:cs="Arial" w:eastAsia="Arial" w:hAnsi="Arial"/>
          <w:sz w:val="17"/>
          <w:szCs w:val="17"/>
          <w:color w:val="auto"/>
        </w:rPr>
        <w:t>The agreement has no set term and is terminable without cause by either party upon 30 days’ prior written notice. Under the agreement, we are required to pay $6,036.94 per flight hour for use of the aircraft. For the year ended December 31, 2022, we made payments totaling $622,000 under this agreement. For the year ended December 31, 2021, we made payments totaling $1,157,000 under this agreement.</w:t>
      </w:r>
    </w:p>
    <w:p>
      <w:pPr>
        <w:spacing w:after="0" w:line="63"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On March 2, 2018, we entered into an agreement with Rank Me Media, LLC, an entity wholly-owned and controlled by Patrick Cruz, brother to each of Brandon M. Cruz, our Co-Chairman of the Board, and Shane E. Cruz, our Chief Strategy Officer, to provide search engine optimization consulting services. This agreement had an initial term of six months and after the expiration of such period, automatically renews one month each month unless terminated by either party with a 30-day prior written notice. Under the agreement, we are required to pay a monthly flat fee retainer of $6,000 per month. For the year ended December 31, 2022, we made payments totaling $72,000 under this agreement. For the year ended December 31, 2021, we made payments totaling $66,000 under this agreement.</w:t>
      </w:r>
    </w:p>
    <w:p>
      <w:pPr>
        <w:spacing w:after="0" w:line="58"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Anthem Insurance Companies, Inc., an owner of our Series A Preferred Stock (see “Security Ownership of Certain Beneficial Owners and Management”), is a wholly-owned subsidiary of Elevance Health, Inc. (“Elevance”). Elevance is the owner of health plan partners with which we enter into contractual agency relationships. Our health plan partners are responsible for paying our commissions and, for these purposes, act as our customers. Health plans owned by Elevance accounted for approximately $142.9 million or 23% of our net revenues for the twelve months ended December 31, 2022, and approximately $238.4 million or 22% of our net revenues for the twelve months ended December 31, 2021.</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As of December 31, 2022, there were payments in the amount of approximately $550,000 due to the Continuing Equity Owners under the Tax Receivable Agreement.</w:t>
      </w: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GoHealth Holdings, LLC Agreement</w:t>
      </w:r>
    </w:p>
    <w:p>
      <w:pPr>
        <w:spacing w:after="0" w:line="117"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On July 15, 2020, we and the Continuing Equity Owners entered into GoHealth Holdings, LLC’s Second Amended and Restated Limited Liability Company Agreement (the “GoHealth Holdings, LLC Agreement”).</w:t>
      </w:r>
    </w:p>
    <w:p>
      <w:pPr>
        <w:spacing w:after="0" w:line="38" w:lineRule="exact"/>
        <w:rPr>
          <w:sz w:val="20"/>
          <w:szCs w:val="20"/>
          <w:color w:val="auto"/>
        </w:rPr>
      </w:pPr>
    </w:p>
    <w:p>
      <w:pPr>
        <w:ind w:left="1000" w:right="359" w:hanging="348"/>
        <w:spacing w:after="0" w:line="29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became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and the sole manager of GoHealth Holdings, LLC. As the sole manager, we are able to control all of the day-to-day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979"/>
        <w:spacing w:after="0" w:line="308" w:lineRule="auto"/>
        <w:rPr>
          <w:sz w:val="20"/>
          <w:szCs w:val="20"/>
          <w:color w:val="auto"/>
        </w:rPr>
      </w:pPr>
      <w:r>
        <w:rPr>
          <w:rFonts w:ascii="Arial" w:cs="Arial" w:eastAsia="Arial" w:hAnsi="Arial"/>
          <w:sz w:val="17"/>
          <w:szCs w:val="17"/>
          <w:color w:val="auto"/>
        </w:rPr>
        <w:t>we cannot be removed or replaced as the sole manager of GoHealth Holdings, LLC except by our resignation, which may be given at any time by written notice to the members.</w:t>
      </w:r>
    </w:p>
    <w:p>
      <w:pPr>
        <w:spacing w:after="0" w:line="38" w:lineRule="exact"/>
        <w:rPr>
          <w:sz w:val="20"/>
          <w:szCs w:val="20"/>
          <w:color w:val="auto"/>
        </w:rPr>
      </w:pPr>
    </w:p>
    <w:p>
      <w:pPr>
        <w:ind w:left="1000" w:right="339" w:hanging="348"/>
        <w:spacing w:after="0" w:line="25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are not entitled to compensation for our services as the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9" w:lineRule="exact"/>
        <w:rPr>
          <w:rFonts w:ascii="Arial" w:cs="Arial" w:eastAsia="Arial" w:hAnsi="Arial"/>
          <w:sz w:val="18"/>
          <w:szCs w:val="18"/>
          <w:color w:val="auto"/>
        </w:rPr>
      </w:pPr>
    </w:p>
    <w:p>
      <w:pPr>
        <w:ind w:left="1000" w:right="359" w:hanging="348"/>
        <w:spacing w:after="0" w:line="284"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The GoHealth Holdings, LLC Agreement requires “tax distributions,” as that term is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71" w:lineRule="exact"/>
        <w:rPr>
          <w:rFonts w:ascii="Arial" w:cs="Arial" w:eastAsia="Arial" w:hAnsi="Arial"/>
          <w:sz w:val="16"/>
          <w:szCs w:val="16"/>
          <w:color w:val="auto"/>
        </w:rPr>
      </w:pPr>
    </w:p>
    <w:p>
      <w:pPr>
        <w:ind w:left="1000" w:right="319" w:hanging="348"/>
        <w:spacing w:after="0" w:line="270"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Transfer Restrictions</w:t>
      </w:r>
      <w:r>
        <w:rPr>
          <w:rFonts w:ascii="Arial" w:cs="Arial" w:eastAsia="Arial" w:hAnsi="Arial"/>
          <w:sz w:val="17"/>
          <w:szCs w:val="17"/>
          <w:color w:val="auto"/>
        </w:rPr>
        <w:t>. The GoHealth Holdings, LLC Agreement generally does not permit transfers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73"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w:t>
      </w:r>
    </w:p>
    <w:p>
      <w:pPr>
        <w:spacing w:after="0" w:line="4" w:lineRule="exact"/>
        <w:rPr>
          <w:sz w:val="20"/>
          <w:szCs w:val="20"/>
          <w:color w:val="auto"/>
        </w:rPr>
      </w:pPr>
    </w:p>
    <w:p>
      <w:pPr>
        <w:ind w:left="540" w:hanging="248"/>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Continuing Equity Owners will be required to surrender a number of shares of our Class B common stock</w:t>
      </w:r>
    </w:p>
    <w:p>
      <w:pPr>
        <w:spacing w:after="0" w:line="32" w:lineRule="exact"/>
        <w:rPr>
          <w:rFonts w:ascii="Arial" w:cs="Arial" w:eastAsia="Arial" w:hAnsi="Arial"/>
          <w:sz w:val="16"/>
          <w:szCs w:val="16"/>
          <w:color w:val="auto"/>
        </w:rPr>
      </w:pPr>
    </w:p>
    <w:p>
      <w:pPr>
        <w:ind w:left="300" w:right="339"/>
        <w:spacing w:after="0" w:line="253" w:lineRule="auto"/>
        <w:rPr>
          <w:rFonts w:ascii="Arial" w:cs="Arial" w:eastAsia="Arial" w:hAnsi="Arial"/>
          <w:sz w:val="16"/>
          <w:szCs w:val="16"/>
          <w:color w:val="auto"/>
        </w:rPr>
      </w:pPr>
      <w:r>
        <w:rPr>
          <w:rFonts w:ascii="Arial" w:cs="Arial" w:eastAsia="Arial" w:hAnsi="Arial"/>
          <w:sz w:val="18"/>
          <w:szCs w:val="18"/>
          <w:color w:val="auto"/>
        </w:rPr>
        <w:t>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281"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color w:val="auto"/>
        </w:rPr>
        <w:t>Pursuant to the Stockholders Agreement, (i) NVX Holdings has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has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(i)NVX Holdings has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 Additionally, pursuant to the Stockholders Agreement, each of Centerbridge and NVX Holdings has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60"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59"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84" w:lineRule="exact"/>
        <w:rPr>
          <w:sz w:val="20"/>
          <w:szCs w:val="20"/>
          <w:color w:val="auto"/>
        </w:rPr>
      </w:pPr>
    </w:p>
    <w:p>
      <w:pPr>
        <w:ind w:left="1000" w:right="39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8"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lease or exchange of all or substantially all of the property and assets of the Company and its subsidiaries, taken as a whole;</w:t>
      </w:r>
    </w:p>
    <w:p>
      <w:pPr>
        <w:spacing w:after="0" w:line="62" w:lineRule="exact"/>
        <w:rPr>
          <w:rFonts w:ascii="Arial" w:cs="Arial" w:eastAsia="Arial" w:hAnsi="Arial"/>
          <w:sz w:val="18"/>
          <w:szCs w:val="18"/>
          <w:color w:val="auto"/>
        </w:rPr>
      </w:pPr>
    </w:p>
    <w:p>
      <w:pPr>
        <w:jc w:val="both"/>
        <w:ind w:left="1000" w:right="339" w:hanging="348"/>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acquisition or disposition by the Company or any of its subsidiaries of assets, persons, equity interests or businesses, or entry into any joint venture by the Company, where the aggregate consideration is greater than $50.0 million in any single transaction or series of related transactions;</w:t>
      </w:r>
    </w:p>
    <w:p>
      <w:pPr>
        <w:spacing w:after="0" w:line="57" w:lineRule="exact"/>
        <w:rPr>
          <w:rFonts w:ascii="Arial" w:cs="Arial" w:eastAsia="Arial" w:hAnsi="Arial"/>
          <w:sz w:val="17"/>
          <w:szCs w:val="17"/>
          <w:color w:val="auto"/>
        </w:rPr>
      </w:pPr>
    </w:p>
    <w:p>
      <w:pPr>
        <w:ind w:left="1000" w:right="9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Company, GoHealth Holdings, LLC or any of their respective subsidiaries;</w:t>
      </w:r>
    </w:p>
    <w:p>
      <w:pPr>
        <w:spacing w:after="0" w:line="62"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75"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Company, GoHealth Holdings, LLC or any of their respective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3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75" w:lineRule="exact"/>
        <w:rPr>
          <w:rFonts w:ascii="Arial" w:cs="Arial" w:eastAsia="Arial" w:hAnsi="Arial"/>
          <w:sz w:val="18"/>
          <w:szCs w:val="18"/>
          <w:color w:val="auto"/>
        </w:rPr>
      </w:pPr>
    </w:p>
    <w:p>
      <w:pPr>
        <w:ind w:left="1000" w:right="419" w:hanging="348"/>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57"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settlement of any material litigation or similar action to which the Company or any subsidiary is a party or could otherwise be bound;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engagement of, or change to, our independent auditor;</w:t>
      </w:r>
    </w:p>
    <w:p>
      <w:pPr>
        <w:spacing w:after="0" w:line="117"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57" w:lineRule="exact"/>
        <w:rPr>
          <w:rFonts w:ascii="Arial" w:cs="Arial" w:eastAsia="Arial" w:hAnsi="Arial"/>
          <w:sz w:val="17"/>
          <w:szCs w:val="17"/>
          <w:color w:val="auto"/>
        </w:rPr>
      </w:pPr>
    </w:p>
    <w:p>
      <w:pPr>
        <w:ind w:left="1000" w:right="339" w:hanging="348"/>
        <w:spacing w:after="0" w:line="25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agreement, authorization or commitment to do any of the foregoing.</w:t>
      </w:r>
    </w:p>
    <w:p>
      <w:pPr>
        <w:spacing w:after="0" w:line="117"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84" w:lineRule="exact"/>
        <w:rPr>
          <w:sz w:val="20"/>
          <w:szCs w:val="20"/>
          <w:color w:val="auto"/>
        </w:rPr>
      </w:pPr>
    </w:p>
    <w:p>
      <w:pPr>
        <w:ind w:left="1000" w:right="6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Company, GoHealth Holdings, LLC or any of their respective subsidiaries;</w:t>
      </w:r>
    </w:p>
    <w:p>
      <w:pPr>
        <w:spacing w:after="0" w:line="62"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 resignation, replacement or removal of the Company as the sole manager of GoHealth Holdings, LLC or (ii) appointment of any additional person as a manager of GoHealth Holdings, LLC;</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increase or decrease of the size of our Board;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Company and its subsidiaries’ business; and</w:t>
      </w:r>
    </w:p>
    <w:p>
      <w:pPr>
        <w:spacing w:after="0" w:line="117" w:lineRule="exact"/>
        <w:rPr>
          <w:rFonts w:ascii="Arial" w:cs="Arial" w:eastAsia="Arial" w:hAnsi="Arial"/>
          <w:sz w:val="18"/>
          <w:szCs w:val="18"/>
          <w:color w:val="auto"/>
        </w:rPr>
      </w:pPr>
    </w:p>
    <w:p>
      <w:pPr>
        <w:ind w:left="1000" w:right="439" w:hanging="348"/>
        <w:spacing w:after="0" w:line="274"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transaction with any affiliate, director or officer of the Company or any of its subsidiaries (other than employment arrangements with any such director or officer) involving an amount in excess of</w:t>
      </w:r>
    </w:p>
    <w:p>
      <w:pPr>
        <w:ind w:left="1000"/>
        <w:spacing w:after="0"/>
        <w:rPr>
          <w:rFonts w:ascii="Arial" w:cs="Arial" w:eastAsia="Arial" w:hAnsi="Arial"/>
          <w:sz w:val="17"/>
          <w:szCs w:val="17"/>
          <w:color w:val="auto"/>
        </w:rPr>
      </w:pPr>
      <w:r>
        <w:rPr>
          <w:rFonts w:ascii="Arial" w:cs="Arial" w:eastAsia="Arial" w:hAnsi="Arial"/>
          <w:sz w:val="18"/>
          <w:szCs w:val="18"/>
          <w:color w:val="auto"/>
        </w:rPr>
        <w:t>$3.0 million.</w:t>
      </w:r>
    </w:p>
    <w:p>
      <w:pPr>
        <w:spacing w:after="0" w:line="103"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and Officer Indemnification and Insurance</w:t>
      </w:r>
    </w:p>
    <w:p>
      <w:pPr>
        <w:spacing w:after="0" w:line="117"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you received this proxy statement</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You are viewing or have received these proxy materials because GoHealth’s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21" w:lineRule="exact"/>
        <w:rPr>
          <w:sz w:val="20"/>
          <w:szCs w:val="20"/>
          <w:color w:val="auto"/>
        </w:rPr>
      </w:pPr>
    </w:p>
    <w:p>
      <w:pPr>
        <w:ind w:left="300" w:right="419"/>
        <w:spacing w:after="0" w:line="289" w:lineRule="auto"/>
        <w:rPr>
          <w:sz w:val="20"/>
          <w:szCs w:val="20"/>
          <w:color w:val="auto"/>
        </w:rPr>
      </w:pPr>
      <w:r>
        <w:rPr>
          <w:rFonts w:ascii="Arial" w:cs="Arial" w:eastAsia="Arial" w:hAnsi="Arial"/>
          <w:sz w:val="16"/>
          <w:szCs w:val="16"/>
          <w:color w:val="auto"/>
        </w:rPr>
        <w:t>As permitted by SEC rules, GoHealth is making this proxy statement and its 2022 Annual Report available to its stockholders electronically via the Internet. On or about April 11, 2023, we mailed to our stockholders a Notice of Internet Availability of Proxy Materials (the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Printed Copies of Our Proxy Materials</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If you received printed copies of our proxy materials, then instructions regarding how you can vote are contained on the proxy card included in the materials.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300" w:right="399"/>
        <w:spacing w:after="0" w:line="290" w:lineRule="auto"/>
        <w:rPr>
          <w:sz w:val="20"/>
          <w:szCs w:val="20"/>
          <w:color w:val="auto"/>
        </w:rPr>
      </w:pPr>
      <w:r>
        <w:rPr>
          <w:rFonts w:ascii="Arial" w:cs="Arial" w:eastAsia="Arial" w:hAnsi="Arial"/>
          <w:sz w:val="16"/>
          <w:szCs w:val="16"/>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57"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2023 ANNUAL MEETING OF STOCKHOLDERS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left="300" w:right="339"/>
        <w:spacing w:after="0" w:line="286" w:lineRule="auto"/>
        <w:rPr>
          <w:sz w:val="20"/>
          <w:szCs w:val="20"/>
          <w:color w:val="auto"/>
        </w:rPr>
      </w:pPr>
      <w:r>
        <w:rPr>
          <w:rFonts w:ascii="Arial" w:cs="Arial" w:eastAsia="Arial" w:hAnsi="Arial"/>
          <w:sz w:val="16"/>
          <w:szCs w:val="16"/>
          <w:color w:val="auto"/>
        </w:rPr>
        <w:t>The Record Date for the Annual Meeting is March 28, 2023. You are entitled to vote at the Annual Meeting only if you were a stockholder of record at the close of business on that date, or if you hold a valid proxy for the Annual Meeting. Each outstanding share of Series A preferred stock is entitled to vote with Class A common shares on an as-converted basis subject to the voting caps as described further in the Certificate of Designations. Each outstanding share of Class A common stock and Class B common stock is entitled to one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50,000 Series A preferred shares (convertible into 3,872,513 voting shares), 8,982,096 shares of Class A common stock and 13,053,374 shares of Class B common stock outstanding and entitled to vote at the Annual Meeting. The Class A shares, on an as-converted basis represent 49.6% of voting power of our common stock and Class B shares represent 50.3%.</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online or by proxy, of the holders of a majority of voting power of the common stock issued and outstanding and entitled to vote on the Record Date will constitute a quorum.</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attend the Annual Meeting?</w:t>
      </w:r>
    </w:p>
    <w:p>
      <w:pPr>
        <w:spacing w:after="0" w:line="12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 xml:space="preserve">GoHealth will hold the Annual Meeting virtually this year. You may attend and participate in the Annual Meeting by visiting the following website: </w:t>
      </w:r>
      <w:r>
        <w:rPr>
          <w:rFonts w:ascii="Arial" w:cs="Arial" w:eastAsia="Arial" w:hAnsi="Arial"/>
          <w:sz w:val="17"/>
          <w:szCs w:val="17"/>
          <w:i w:val="1"/>
          <w:iCs w:val="1"/>
          <w:color w:val="auto"/>
        </w:rPr>
        <w:t>www.virtualshareholdermeeting.com/GOCO2023</w:t>
      </w:r>
      <w:r>
        <w:rPr>
          <w:rFonts w:ascii="Arial" w:cs="Arial" w:eastAsia="Arial" w:hAnsi="Arial"/>
          <w:sz w:val="17"/>
          <w:szCs w:val="17"/>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Daylight Time (9:00 a.m. Central Daylight Time). We encourage you to access the Annual Meeting prior to the start time. Online check-in will begin at 9:55 a.m., Eastern Daylight Time (8:55 a.m. Central Daylight Time), and you should allow ample time for the check-in procedures.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42" w:lineRule="auto"/>
        <w:rPr>
          <w:sz w:val="20"/>
          <w:szCs w:val="20"/>
          <w:color w:val="auto"/>
        </w:rPr>
      </w:pPr>
      <w:r>
        <w:rPr>
          <w:rFonts w:ascii="Arial" w:cs="Arial" w:eastAsia="Arial" w:hAnsi="Arial"/>
          <w:sz w:val="16"/>
          <w:szCs w:val="16"/>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does it mean if I receive more than one Internet Notice or more than one set of proxy materials?</w:t>
      </w:r>
    </w:p>
    <w:p>
      <w:pPr>
        <w:spacing w:after="0" w:line="133"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17" w:lineRule="exact"/>
        <w:rPr>
          <w:sz w:val="20"/>
          <w:szCs w:val="20"/>
          <w:color w:val="auto"/>
        </w:rPr>
      </w:pPr>
    </w:p>
    <w:p>
      <w:pPr>
        <w:ind w:left="1000" w:right="9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by Internet before the Annual Meeting—You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Internet Notice or proxy card;</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Telephone before the Annual Meeting—You can vote by telephone by calling 1-800-690-6903 and following the instructions on the proxy card;</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Mail before the Annual Meeting—You can vote by mail by signing, dating and mailing the proxy card, which you may have received by mail; or</w:t>
      </w:r>
    </w:p>
    <w:p>
      <w:pPr>
        <w:spacing w:after="0" w:line="62" w:lineRule="exact"/>
        <w:rPr>
          <w:rFonts w:ascii="Arial" w:cs="Arial" w:eastAsia="Arial" w:hAnsi="Arial"/>
          <w:sz w:val="18"/>
          <w:szCs w:val="18"/>
          <w:color w:val="auto"/>
        </w:rPr>
      </w:pPr>
    </w:p>
    <w:p>
      <w:pPr>
        <w:ind w:left="1000" w:right="539" w:hanging="348"/>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57"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Internet and telephone voting facilities for stockholders of record will be available 24 hours a day and will close at 11:59 p.m., Eastern Daylight Time (10:59 p.m. Central Daylight Time), on May 22, 2023. To participate in the Annual Meeting, including to vote via the Internet or telephone, you will need the 16-digit control number included on your Internet Notice, on your proxy card or on the instructions that accompanied your proxy materials.</w:t>
      </w:r>
    </w:p>
    <w:p>
      <w:pPr>
        <w:spacing w:after="0" w:line="49" w:lineRule="exact"/>
        <w:rPr>
          <w:sz w:val="20"/>
          <w:szCs w:val="20"/>
          <w:color w:val="auto"/>
        </w:rPr>
      </w:pPr>
    </w:p>
    <w:p>
      <w:pPr>
        <w:jc w:val="both"/>
        <w:ind w:left="300" w:right="679"/>
        <w:spacing w:after="0" w:line="259"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9" w:lineRule="exact"/>
        <w:rPr>
          <w:sz w:val="20"/>
          <w:szCs w:val="20"/>
          <w:color w:val="auto"/>
        </w:rPr>
      </w:pPr>
    </w:p>
    <w:p>
      <w:pPr>
        <w:ind w:left="300" w:right="499"/>
        <w:spacing w:after="0" w:line="270" w:lineRule="auto"/>
        <w:rPr>
          <w:sz w:val="20"/>
          <w:szCs w:val="20"/>
          <w:color w:val="auto"/>
        </w:rPr>
      </w:pPr>
      <w:r>
        <w:rPr>
          <w:rFonts w:ascii="Arial" w:cs="Arial" w:eastAsia="Arial" w:hAnsi="Arial"/>
          <w:sz w:val="17"/>
          <w:szCs w:val="17"/>
          <w:i w:val="1"/>
          <w:iCs w:val="1"/>
          <w:color w:val="auto"/>
        </w:rPr>
        <w:t xml:space="preserve">Beneficial Owners of Shares Held in “Street Name.” </w:t>
      </w:r>
      <w:r>
        <w:rPr>
          <w:rFonts w:ascii="Arial" w:cs="Arial" w:eastAsia="Arial" w:hAnsi="Arial"/>
          <w:sz w:val="17"/>
          <w:szCs w:val="17"/>
          <w:color w:val="auto"/>
        </w:rPr>
        <w:t>If your shares are held in “street name” through a bank or</w:t>
      </w:r>
      <w:r>
        <w:rPr>
          <w:rFonts w:ascii="Arial" w:cs="Arial" w:eastAsia="Arial" w:hAnsi="Arial"/>
          <w:sz w:val="17"/>
          <w:szCs w:val="17"/>
          <w:i w:val="1"/>
          <w:iCs w:val="1"/>
          <w:color w:val="auto"/>
        </w:rPr>
        <w:t xml:space="preserve"> </w:t>
      </w:r>
      <w:r>
        <w:rPr>
          <w:rFonts w:ascii="Arial" w:cs="Arial" w:eastAsia="Arial" w:hAnsi="Arial"/>
          <w:sz w:val="17"/>
          <w:szCs w:val="17"/>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21"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color w:val="auto"/>
        </w:rPr>
        <w:t>Yes. If you are a registered stockholder, you may revoke your proxy and change your vote any time before it is voted:</w:t>
      </w:r>
    </w:p>
    <w:p>
      <w:pPr>
        <w:spacing w:after="0" w:line="62"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17"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GoHealth prior to the Annual Meeting;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voting online at the Annual Meeting.</w:t>
      </w:r>
    </w:p>
    <w:p>
      <w:pPr>
        <w:spacing w:after="0" w:line="117"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76"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of otherwise voting through your bank or broker.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representative of Broadridge Financial Solutions, Inc., our inspector of election, will tabulate and certify the votes.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21"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color w:val="auto"/>
        </w:rPr>
        <w:t xml:space="preserve">If you submit a proxy but do not indicate any voting instructions, the persons named as proxies will vote in accordance with the recommendations of the Board of Directors. The Board of Directors’ recommendations are indicated on page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of this proxy statement, as well as with the description of each proposal in this proxy statement.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86"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hold a virtual meeting?</w:t>
      </w:r>
    </w:p>
    <w:p>
      <w:pPr>
        <w:spacing w:after="0" w:line="121"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 xml:space="preserve">A virtual meeting enables increased stockholder attendance and participation because stockholders can participate from any location around the world. It also helps to keep everyone safe and healthy. You will be able to attend the Annual Meeting online and submit your questions by visiting </w:t>
      </w:r>
      <w:r>
        <w:rPr>
          <w:rFonts w:ascii="Arial" w:cs="Arial" w:eastAsia="Arial" w:hAnsi="Arial"/>
          <w:sz w:val="16"/>
          <w:szCs w:val="16"/>
          <w:i w:val="1"/>
          <w:iCs w:val="1"/>
          <w:color w:val="auto"/>
        </w:rPr>
        <w:t>www.virtualshareholdermeeting.com/GOCO2023</w:t>
      </w:r>
      <w:r>
        <w:rPr>
          <w:rFonts w:ascii="Arial" w:cs="Arial" w:eastAsia="Arial" w:hAnsi="Arial"/>
          <w:sz w:val="16"/>
          <w:szCs w:val="16"/>
          <w:color w:val="auto"/>
        </w:rPr>
        <w:t>. You also will be able to vote your shares electronically at the Annual Meeting by following the instructions above.</w:t>
      </w:r>
    </w:p>
    <w:p>
      <w:pPr>
        <w:spacing w:after="0" w:line="153" w:lineRule="exact"/>
        <w:rPr>
          <w:sz w:val="20"/>
          <w:szCs w:val="20"/>
          <w:color w:val="auto"/>
        </w:rPr>
      </w:pPr>
    </w:p>
    <w:p>
      <w:pPr>
        <w:ind w:left="300" w:right="939"/>
        <w:spacing w:after="0" w:line="282" w:lineRule="auto"/>
        <w:rPr>
          <w:sz w:val="20"/>
          <w:szCs w:val="20"/>
          <w:color w:val="auto"/>
        </w:rPr>
      </w:pPr>
      <w:r>
        <w:rPr>
          <w:rFonts w:ascii="Arial" w:cs="Arial" w:eastAsia="Arial" w:hAnsi="Arial"/>
          <w:sz w:val="18"/>
          <w:szCs w:val="18"/>
          <w:b w:val="1"/>
          <w:bCs w:val="1"/>
          <w:color w:val="auto"/>
        </w:rPr>
        <w:t>What if during the check-in time or during the Annual Meeting I have technical difficulties or trouble accessing the virtual meeting website?</w:t>
      </w:r>
    </w:p>
    <w:p>
      <w:pPr>
        <w:spacing w:after="0" w:line="58" w:lineRule="exact"/>
        <w:rPr>
          <w:sz w:val="20"/>
          <w:szCs w:val="20"/>
          <w:color w:val="auto"/>
        </w:rPr>
      </w:pPr>
    </w:p>
    <w:p>
      <w:pPr>
        <w:ind w:left="300" w:right="799"/>
        <w:spacing w:after="0" w:line="263"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website, and the information for assistance will be located on </w:t>
      </w:r>
      <w:r>
        <w:rPr>
          <w:rFonts w:ascii="Arial" w:cs="Arial" w:eastAsia="Arial" w:hAnsi="Arial"/>
          <w:sz w:val="18"/>
          <w:szCs w:val="18"/>
          <w:i w:val="1"/>
          <w:iCs w:val="1"/>
          <w:color w:val="auto"/>
        </w:rPr>
        <w:t>www.virtualshareholdermeeting.com/GOCO2023</w:t>
      </w:r>
      <w:r>
        <w:rPr>
          <w:rFonts w:ascii="Arial" w:cs="Arial" w:eastAsia="Arial" w:hAnsi="Arial"/>
          <w:sz w:val="18"/>
          <w:szCs w:val="18"/>
          <w:color w:val="auto"/>
        </w:rPr>
        <w:t>.</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there be a question and answer session during the Annual Meeting?</w:t>
      </w:r>
    </w:p>
    <w:p>
      <w:pPr>
        <w:spacing w:after="0" w:line="121"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56"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62" w:lineRule="exact"/>
        <w:rPr>
          <w:sz w:val="20"/>
          <w:szCs w:val="20"/>
          <w:color w:val="auto"/>
        </w:rPr>
      </w:pPr>
    </w:p>
    <w:p>
      <w:pPr>
        <w:ind w:left="300" w:right="599"/>
        <w:spacing w:after="0" w:line="286" w:lineRule="auto"/>
        <w:rPr>
          <w:sz w:val="20"/>
          <w:szCs w:val="20"/>
          <w:color w:val="auto"/>
        </w:rPr>
      </w:pPr>
      <w:r>
        <w:rPr>
          <w:rFonts w:ascii="Arial" w:cs="Arial" w:eastAsia="Arial" w:hAnsi="Arial"/>
          <w:sz w:val="17"/>
          <w:szCs w:val="17"/>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319"/>
        <w:spacing w:after="0" w:line="282"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Proposal</w:t>
            </w:r>
          </w:p>
        </w:tc>
        <w:tc>
          <w:tcPr>
            <w:tcW w:w="31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Votes required</w:t>
            </w:r>
          </w:p>
        </w:tc>
        <w:tc>
          <w:tcPr>
            <w:tcW w:w="282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Effect of Votes Withheld /</w:t>
            </w:r>
          </w:p>
        </w:tc>
        <w:tc>
          <w:tcPr>
            <w:tcW w:w="0" w:type="dxa"/>
            <w:vAlign w:val="bottom"/>
          </w:tcPr>
          <w:p>
            <w:pPr>
              <w:spacing w:after="0"/>
              <w:rPr>
                <w:sz w:val="1"/>
                <w:szCs w:val="1"/>
                <w:color w:val="auto"/>
              </w:rPr>
            </w:pPr>
          </w:p>
        </w:tc>
      </w:tr>
      <w:tr>
        <w:trPr>
          <w:trHeight w:val="186"/>
        </w:trPr>
        <w:tc>
          <w:tcPr>
            <w:tcW w:w="21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2820" w:type="dxa"/>
            <w:vAlign w:val="bottom"/>
          </w:tcPr>
          <w:p>
            <w:pPr>
              <w:jc w:val="center"/>
              <w:ind w:left="608"/>
              <w:spacing w:after="0"/>
              <w:rPr>
                <w:sz w:val="20"/>
                <w:szCs w:val="20"/>
                <w:color w:val="auto"/>
              </w:rPr>
            </w:pPr>
            <w:r>
              <w:rPr>
                <w:rFonts w:ascii="Arial" w:cs="Arial" w:eastAsia="Arial" w:hAnsi="Arial"/>
                <w:sz w:val="14"/>
                <w:szCs w:val="14"/>
                <w:b w:val="1"/>
                <w:bCs w:val="1"/>
                <w:color w:val="auto"/>
                <w:w w:val="91"/>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9" w:lineRule="exact"/>
        <w:rPr>
          <w:sz w:val="20"/>
          <w:szCs w:val="20"/>
          <w:color w:val="auto"/>
        </w:rPr>
      </w:pPr>
    </w:p>
    <w:p>
      <w:pPr>
        <w:ind w:left="300"/>
        <w:spacing w:after="0"/>
        <w:tabs>
          <w:tab w:leader="none" w:pos="314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6"/>
          <w:szCs w:val="16"/>
          <w:color w:val="auto"/>
        </w:rPr>
        <w:t>The plurality of the votes cast. This</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means that the three nominees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elected as Class III Directors.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Votes withheld and broker non-votes will have no effect.</w:t>
      </w:r>
    </w:p>
    <w:p>
      <w:pPr>
        <w:spacing w:after="0" w:line="807" w:lineRule="exact"/>
        <w:rPr>
          <w:sz w:val="20"/>
          <w:szCs w:val="20"/>
          <w:color w:val="auto"/>
        </w:rPr>
      </w:pPr>
    </w:p>
    <w:p>
      <w:pPr>
        <w:sectPr>
          <w:pgSz w:w="11900" w:h="16838" w:orient="portrait"/>
          <w:cols w:equalWidth="0" w:num="2">
            <w:col w:w="5700" w:space="320"/>
            <w:col w:w="2999"/>
          </w:cols>
          <w:pgMar w:left="1440" w:top="265" w:right="1440" w:bottom="1440" w:gutter="0" w:footer="0" w:header="0"/>
          <w:type w:val="continuous"/>
        </w:sectPr>
      </w:pP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Proposal 2: Ratification of</w:t>
            </w:r>
          </w:p>
        </w:tc>
        <w:tc>
          <w:tcPr>
            <w:tcW w:w="2840" w:type="dxa"/>
            <w:vAlign w:val="bottom"/>
          </w:tcPr>
          <w:p>
            <w:pPr>
              <w:ind w:left="160"/>
              <w:spacing w:after="0"/>
              <w:rPr>
                <w:sz w:val="20"/>
                <w:szCs w:val="20"/>
                <w:color w:val="auto"/>
              </w:rPr>
            </w:pPr>
            <w:r>
              <w:rPr>
                <w:rFonts w:ascii="Arial" w:cs="Arial" w:eastAsia="Arial" w:hAnsi="Arial"/>
                <w:sz w:val="18"/>
                <w:szCs w:val="18"/>
                <w:color w:val="auto"/>
                <w:w w:val="97"/>
              </w:rPr>
              <w:t>The affirmative vote of the holders</w:t>
            </w:r>
          </w:p>
        </w:tc>
        <w:tc>
          <w:tcPr>
            <w:tcW w:w="2840" w:type="dxa"/>
            <w:vAlign w:val="bottom"/>
          </w:tcPr>
          <w:p>
            <w:pPr>
              <w:ind w:left="180"/>
              <w:spacing w:after="0"/>
              <w:rPr>
                <w:sz w:val="20"/>
                <w:szCs w:val="20"/>
                <w:color w:val="auto"/>
              </w:rPr>
            </w:pPr>
            <w:r>
              <w:rPr>
                <w:rFonts w:ascii="Arial" w:cs="Arial" w:eastAsia="Arial" w:hAnsi="Arial"/>
                <w:sz w:val="18"/>
                <w:szCs w:val="18"/>
                <w:color w:val="auto"/>
                <w:w w:val="94"/>
              </w:rPr>
              <w:t>Abstentions will have no effect. We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Appointment of Independent</w:t>
            </w:r>
          </w:p>
        </w:tc>
        <w:tc>
          <w:tcPr>
            <w:tcW w:w="2840" w:type="dxa"/>
            <w:vAlign w:val="bottom"/>
          </w:tcPr>
          <w:p>
            <w:pPr>
              <w:ind w:left="160"/>
              <w:spacing w:after="0"/>
              <w:rPr>
                <w:sz w:val="20"/>
                <w:szCs w:val="20"/>
                <w:color w:val="auto"/>
              </w:rPr>
            </w:pPr>
            <w:r>
              <w:rPr>
                <w:rFonts w:ascii="Arial" w:cs="Arial" w:eastAsia="Arial" w:hAnsi="Arial"/>
                <w:sz w:val="18"/>
                <w:szCs w:val="18"/>
                <w:color w:val="auto"/>
              </w:rPr>
              <w:t>of a majority of the votes cast.</w:t>
            </w:r>
          </w:p>
        </w:tc>
        <w:tc>
          <w:tcPr>
            <w:tcW w:w="2840" w:type="dxa"/>
            <w:vAlign w:val="bottom"/>
          </w:tcPr>
          <w:p>
            <w:pPr>
              <w:ind w:left="180"/>
              <w:spacing w:after="0"/>
              <w:rPr>
                <w:sz w:val="20"/>
                <w:szCs w:val="20"/>
                <w:color w:val="auto"/>
              </w:rPr>
            </w:pPr>
            <w:r>
              <w:rPr>
                <w:rFonts w:ascii="Arial" w:cs="Arial" w:eastAsia="Arial" w:hAnsi="Arial"/>
                <w:sz w:val="18"/>
                <w:szCs w:val="18"/>
                <w:color w:val="auto"/>
                <w:w w:val="93"/>
              </w:rPr>
              <w:t>do not expect any broker non-votes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7"/>
              </w:rPr>
              <w:t>Registered Public Accounting Firm</w:t>
            </w:r>
          </w:p>
        </w:tc>
        <w:tc>
          <w:tcPr>
            <w:tcW w:w="28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w w:val="96"/>
              </w:rPr>
              <w:t>on this proposal since brokers can</w:t>
            </w:r>
          </w:p>
        </w:tc>
      </w:tr>
      <w:tr>
        <w:trPr>
          <w:trHeight w:val="230"/>
        </w:trPr>
        <w:tc>
          <w:tcPr>
            <w:tcW w:w="2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w w:val="90"/>
              </w:rPr>
              <w:t>vote with discretion on this proposal.</w:t>
            </w:r>
          </w:p>
        </w:tc>
      </w:tr>
      <w:tr>
        <w:trPr>
          <w:trHeight w:val="634"/>
        </w:trPr>
        <w:tc>
          <w:tcPr>
            <w:tcW w:w="2700" w:type="dxa"/>
            <w:vAlign w:val="bottom"/>
          </w:tcPr>
          <w:p>
            <w:pPr>
              <w:spacing w:after="0"/>
              <w:rPr>
                <w:sz w:val="20"/>
                <w:szCs w:val="20"/>
                <w:color w:val="auto"/>
              </w:rPr>
            </w:pPr>
            <w:r>
              <w:rPr>
                <w:rFonts w:ascii="Arial" w:cs="Arial" w:eastAsia="Arial" w:hAnsi="Arial"/>
                <w:sz w:val="18"/>
                <w:szCs w:val="18"/>
                <w:color w:val="auto"/>
              </w:rPr>
              <w:t>Proposal 3: Advisory vote to</w:t>
            </w:r>
          </w:p>
        </w:tc>
        <w:tc>
          <w:tcPr>
            <w:tcW w:w="2840" w:type="dxa"/>
            <w:vAlign w:val="bottom"/>
          </w:tcPr>
          <w:p>
            <w:pPr>
              <w:ind w:left="160"/>
              <w:spacing w:after="0"/>
              <w:rPr>
                <w:sz w:val="20"/>
                <w:szCs w:val="20"/>
                <w:color w:val="auto"/>
              </w:rPr>
            </w:pPr>
            <w:r>
              <w:rPr>
                <w:rFonts w:ascii="Arial" w:cs="Arial" w:eastAsia="Arial" w:hAnsi="Arial"/>
                <w:sz w:val="18"/>
                <w:szCs w:val="18"/>
                <w:color w:val="auto"/>
                <w:w w:val="97"/>
              </w:rPr>
              <w:t>The affirmative vote of the holders</w:t>
            </w:r>
          </w:p>
        </w:tc>
        <w:tc>
          <w:tcPr>
            <w:tcW w:w="2840" w:type="dxa"/>
            <w:vAlign w:val="bottom"/>
          </w:tcPr>
          <w:p>
            <w:pPr>
              <w:ind w:left="180"/>
              <w:spacing w:after="0"/>
              <w:rPr>
                <w:sz w:val="20"/>
                <w:szCs w:val="20"/>
                <w:color w:val="auto"/>
              </w:rPr>
            </w:pPr>
            <w:r>
              <w:rPr>
                <w:rFonts w:ascii="Arial" w:cs="Arial" w:eastAsia="Arial" w:hAnsi="Arial"/>
                <w:sz w:val="18"/>
                <w:szCs w:val="18"/>
                <w:color w:val="auto"/>
                <w:w w:val="98"/>
              </w:rPr>
              <w:t>Abstentions and broker non-votes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approve the compensation of the</w:t>
            </w:r>
          </w:p>
        </w:tc>
        <w:tc>
          <w:tcPr>
            <w:tcW w:w="2840" w:type="dxa"/>
            <w:vAlign w:val="bottom"/>
          </w:tcPr>
          <w:p>
            <w:pPr>
              <w:ind w:left="160"/>
              <w:spacing w:after="0"/>
              <w:rPr>
                <w:sz w:val="20"/>
                <w:szCs w:val="20"/>
                <w:color w:val="auto"/>
              </w:rPr>
            </w:pPr>
            <w:r>
              <w:rPr>
                <w:rFonts w:ascii="Arial" w:cs="Arial" w:eastAsia="Arial" w:hAnsi="Arial"/>
                <w:sz w:val="18"/>
                <w:szCs w:val="18"/>
                <w:color w:val="auto"/>
              </w:rPr>
              <w:t>of a majority of the votes cast.</w:t>
            </w:r>
          </w:p>
        </w:tc>
        <w:tc>
          <w:tcPr>
            <w:tcW w:w="2840" w:type="dxa"/>
            <w:vAlign w:val="bottom"/>
          </w:tcPr>
          <w:p>
            <w:pPr>
              <w:ind w:left="180"/>
              <w:spacing w:after="0"/>
              <w:rPr>
                <w:sz w:val="20"/>
                <w:szCs w:val="20"/>
                <w:color w:val="auto"/>
              </w:rPr>
            </w:pPr>
            <w:r>
              <w:rPr>
                <w:rFonts w:ascii="Arial" w:cs="Arial" w:eastAsia="Arial" w:hAnsi="Arial"/>
                <w:sz w:val="18"/>
                <w:szCs w:val="18"/>
                <w:color w:val="auto"/>
              </w:rPr>
              <w:t>will have no effect.</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Company’s Named Executive</w:t>
            </w:r>
          </w:p>
        </w:tc>
        <w:tc>
          <w:tcPr>
            <w:tcW w:w="28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Officers (Say-on-Pay Vote)</w:t>
            </w:r>
          </w:p>
        </w:tc>
        <w:tc>
          <w:tcPr>
            <w:tcW w:w="284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36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is a “vote withheld” and an “abstention” and how will votes withheld and abstentions be treated?</w:t>
      </w:r>
    </w:p>
    <w:p>
      <w:pPr>
        <w:spacing w:after="0" w:line="133" w:lineRule="exact"/>
        <w:rPr>
          <w:sz w:val="20"/>
          <w:szCs w:val="20"/>
          <w:color w:val="auto"/>
        </w:rPr>
      </w:pPr>
    </w:p>
    <w:p>
      <w:pPr>
        <w:ind w:left="300" w:right="439"/>
        <w:spacing w:after="0" w:line="273" w:lineRule="auto"/>
        <w:rPr>
          <w:sz w:val="20"/>
          <w:szCs w:val="20"/>
          <w:color w:val="auto"/>
        </w:rPr>
      </w:pPr>
      <w:r>
        <w:rPr>
          <w:rFonts w:ascii="Arial" w:cs="Arial" w:eastAsia="Arial" w:hAnsi="Arial"/>
          <w:sz w:val="17"/>
          <w:szCs w:val="17"/>
          <w:color w:val="auto"/>
        </w:rPr>
        <w:t>A “vote withheld,” in the case of the proposal regarding the election of directors, or an “abstention,” in the case of the proposal regarding the ratification of the appointment of Ernst &amp; Young LLP as our independent registered public accounting firm and Say-on-Pay Vote,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Ernst &amp; Young LLP or the Say-on-Pay Vote.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or Say-on-Pay Vote. Broker non-votes count for purposes of determining whether a quorum is present.</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300" w:right="839"/>
        <w:spacing w:after="0" w:line="308" w:lineRule="auto"/>
        <w:rPr>
          <w:sz w:val="20"/>
          <w:szCs w:val="20"/>
          <w:color w:val="auto"/>
        </w:rPr>
      </w:pPr>
      <w:r>
        <w:rPr>
          <w:rFonts w:ascii="Arial" w:cs="Arial" w:eastAsia="Arial" w:hAnsi="Arial"/>
          <w:sz w:val="17"/>
          <w:szCs w:val="17"/>
          <w:color w:val="auto"/>
        </w:rPr>
        <w:t>We plan to announce preliminary voting results at the Annual Meeting and we will report the final results in a Current Report on Form 8-K, which we intend to file with the SEC after the Annual Meeting.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PROPOSALS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2024 Annual Meeting of Stockholders pursuant to Rule 14a-8 under the Exchange Act must submit the proposal to our Corporate Secretary at our offices at 214 West Huron St., Chicago, Illinois 60654 in writing not later than December 13, 2023.</w:t>
      </w:r>
    </w:p>
    <w:p>
      <w:pPr>
        <w:spacing w:after="0" w:line="79"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Stockholders intending to present a proposal at the 2024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2024 Annual Meeting of Stockholders no earlier than January 24, 2024 and no later than February 23, 2024. The notice must contain the information required by the Amended and Restated Bylaws, a copy of which is available upon request to our Corporate Secretary. In the event that the date of the 2023 Annual Meeting of Stockholders is more than 30 days before or more than 60 days after May 23, 2024, then our Corporate Secretary must receive such written notice not later than the close of business on the 90th day prior to the 2024 Annual Meeting or, if later, the close of business on 10th day following the day on which public disclosure of the date of such meeting is first made.</w:t>
      </w:r>
    </w:p>
    <w:p>
      <w:pPr>
        <w:spacing w:after="0" w:line="78"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March 24, 2024.</w:t>
      </w:r>
    </w:p>
    <w:p>
      <w:pPr>
        <w:spacing w:after="0" w:line="76"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7" w:lineRule="exact"/>
        <w:rPr>
          <w:sz w:val="20"/>
          <w:szCs w:val="20"/>
          <w:color w:val="auto"/>
        </w:rPr>
      </w:pPr>
    </w:p>
    <w:p>
      <w:pPr>
        <w:ind w:left="300" w:right="859"/>
        <w:spacing w:after="0" w:line="308" w:lineRule="auto"/>
        <w:rPr>
          <w:sz w:val="20"/>
          <w:szCs w:val="20"/>
          <w:color w:val="auto"/>
        </w:rPr>
      </w:pPr>
      <w:r>
        <w:rPr>
          <w:rFonts w:ascii="Arial" w:cs="Arial" w:eastAsia="Arial" w:hAnsi="Arial"/>
          <w:sz w:val="17"/>
          <w:szCs w:val="17"/>
          <w:color w:val="auto"/>
        </w:rPr>
        <w:t>Certain information contained in this proxy statement relating to the occupations and security holdings of our directors and officers is based upon information received from the individual directors and officers.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In connection with the closing of our initial public offering of our Class A common stock in July 2020 (the “IPO”), we effected certain organizational transactions which we refer to as the “Transactions”. As used in this accompanying proxy statement, unless otherwise indicated, references to:</w:t>
      </w:r>
    </w:p>
    <w:p>
      <w:pPr>
        <w:spacing w:after="0" w:line="76" w:lineRule="exact"/>
        <w:rPr>
          <w:sz w:val="20"/>
          <w:szCs w:val="20"/>
          <w:color w:val="auto"/>
        </w:rPr>
      </w:pPr>
    </w:p>
    <w:p>
      <w:pPr>
        <w:ind w:left="1000" w:right="439" w:hanging="348"/>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84" w:lineRule="exact"/>
        <w:rPr>
          <w:rFonts w:ascii="Arial" w:cs="Arial" w:eastAsia="Arial" w:hAnsi="Arial"/>
          <w:sz w:val="18"/>
          <w:szCs w:val="18"/>
          <w:color w:val="auto"/>
        </w:rPr>
      </w:pPr>
    </w:p>
    <w:p>
      <w:pPr>
        <w:ind w:left="1000" w:right="67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75" w:lineRule="exact"/>
        <w:rPr>
          <w:rFonts w:ascii="Arial" w:cs="Arial" w:eastAsia="Arial" w:hAnsi="Arial"/>
          <w:sz w:val="18"/>
          <w:szCs w:val="18"/>
          <w:color w:val="auto"/>
        </w:rPr>
      </w:pPr>
    </w:p>
    <w:p>
      <w:pPr>
        <w:jc w:val="both"/>
        <w:ind w:left="1000" w:right="379" w:hanging="348"/>
        <w:spacing w:after="0" w:line="28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“Blocker Shareholders”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57" w:lineRule="exact"/>
        <w:rPr>
          <w:rFonts w:ascii="Arial" w:cs="Arial" w:eastAsia="Arial" w:hAnsi="Arial"/>
          <w:sz w:val="17"/>
          <w:szCs w:val="17"/>
          <w:color w:val="auto"/>
        </w:rPr>
      </w:pPr>
    </w:p>
    <w:p>
      <w:pPr>
        <w:jc w:val="both"/>
        <w:ind w:left="1000" w:right="599" w:hanging="348"/>
        <w:spacing w:after="0" w:line="27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“Centerbridge” refers to Centerbridge Capital Partners III, L.P.,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63" w:lineRule="exact"/>
        <w:rPr>
          <w:rFonts w:ascii="Arial" w:cs="Arial" w:eastAsia="Arial" w:hAnsi="Arial"/>
          <w:sz w:val="17"/>
          <w:szCs w:val="17"/>
          <w:color w:val="auto"/>
        </w:rPr>
      </w:pPr>
    </w:p>
    <w:p>
      <w:pPr>
        <w:ind w:left="1000" w:right="49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“Founders” refer to Brandon M. Cruz and Clinton P. Jones, our Co-Chairmen of the Board.</w:t>
      </w:r>
    </w:p>
    <w:p>
      <w:pPr>
        <w:spacing w:after="0" w:line="117" w:lineRule="exact"/>
        <w:rPr>
          <w:rFonts w:ascii="Arial" w:cs="Arial" w:eastAsia="Arial" w:hAnsi="Arial"/>
          <w:sz w:val="18"/>
          <w:szCs w:val="18"/>
          <w:color w:val="auto"/>
        </w:rPr>
      </w:pPr>
    </w:p>
    <w:p>
      <w:pPr>
        <w:ind w:left="1000" w:right="379" w:hanging="348"/>
        <w:spacing w:after="0" w:line="29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53" w:lineRule="exact"/>
        <w:rPr>
          <w:rFonts w:ascii="Arial" w:cs="Arial" w:eastAsia="Arial" w:hAnsi="Arial"/>
          <w:sz w:val="16"/>
          <w:szCs w:val="16"/>
          <w:color w:val="auto"/>
        </w:rPr>
      </w:pPr>
    </w:p>
    <w:p>
      <w:pPr>
        <w:ind w:left="1000" w:right="33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“LLC Interests” refer to the common units of GoHealth Holdings, LLC, including those that we purchased with a portion of the net proceeds from our IPO.</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“Norvax” refers to Norvax, LLC, a Delaware limited liability company and a subsidiary of GoHealth Holdings, LLC.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“NVX Holdings” refers to NVX Holdings, Inc., a Delaware corporation that is controlled by the Founders.</w:t>
      </w:r>
    </w:p>
    <w:p>
      <w:pPr>
        <w:spacing w:after="0" w:line="140"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“Transactions” refer to our IPO and certain organizational transactions that were effected in connection with our IPO, and the application of the net proceeds therefrom.</w:t>
      </w:r>
    </w:p>
    <w:p>
      <w:pPr>
        <w:spacing w:after="0" w:line="62"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GoHealth, Inc. is a holding company and the sole managing member of GoHealth Holdings, LLC, and its principal asset consists of LLC Interests.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GOHEALTH, INC.’S ANNUAL REPORT ON FORM 10-K</w:t>
      </w:r>
    </w:p>
    <w:p>
      <w:pPr>
        <w:spacing w:after="0" w:line="121" w:lineRule="exact"/>
        <w:rPr>
          <w:sz w:val="20"/>
          <w:szCs w:val="20"/>
          <w:color w:val="auto"/>
        </w:rPr>
      </w:pPr>
    </w:p>
    <w:p>
      <w:pPr>
        <w:ind w:left="300" w:right="779"/>
        <w:spacing w:after="0" w:line="311" w:lineRule="auto"/>
        <w:rPr>
          <w:sz w:val="20"/>
          <w:szCs w:val="20"/>
          <w:color w:val="auto"/>
        </w:rPr>
      </w:pPr>
      <w:r>
        <w:rPr>
          <w:rFonts w:ascii="Arial" w:cs="Arial" w:eastAsia="Arial" w:hAnsi="Arial"/>
          <w:sz w:val="16"/>
          <w:szCs w:val="16"/>
          <w:color w:val="auto"/>
        </w:rPr>
        <w:t>A copy of GoHealth’s Annual Report on Form 10-K for the fiscal year ended December 31, 2022, including financial statements and schedules thereto but not including exhibits, as filed with the SEC, will be sent to any stockholder of record on March 28, 2023 without charge upon written request addressed to:</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Chicago, Illinois 60654</w:t>
      </w:r>
    </w:p>
    <w:p>
      <w:pPr>
        <w:spacing w:after="0" w:line="103"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You also may access our Annual Report on Form 10-K for the fiscal year ended December 31, 2022 at </w:t>
      </w:r>
      <w:r>
        <w:rPr>
          <w:rFonts w:ascii="Arial" w:cs="Arial" w:eastAsia="Arial" w:hAnsi="Arial"/>
          <w:sz w:val="18"/>
          <w:szCs w:val="18"/>
          <w:i w:val="1"/>
          <w:iCs w:val="1"/>
          <w:color w:val="auto"/>
        </w:rPr>
        <w:t>investors.gohealth.com</w:t>
      </w:r>
      <w:r>
        <w:rPr>
          <w:rFonts w:ascii="Arial" w:cs="Arial" w:eastAsia="Arial" w:hAnsi="Arial"/>
          <w:sz w:val="18"/>
          <w:szCs w:val="18"/>
          <w:color w:val="auto"/>
        </w:rPr>
        <w:t>.</w:t>
      </w:r>
    </w:p>
    <w:p>
      <w:pPr>
        <w:spacing w:after="0" w:line="72" w:lineRule="exact"/>
        <w:rPr>
          <w:sz w:val="20"/>
          <w:szCs w:val="20"/>
          <w:color w:val="auto"/>
        </w:rPr>
      </w:pPr>
    </w:p>
    <w:p>
      <w:pPr>
        <w:ind w:left="300" w:right="359"/>
        <w:spacing w:after="0" w:line="256"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177800</wp:posOffset>
            </wp:positionV>
            <wp:extent cx="1431290" cy="711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312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P. Farley, Chief Legal Officer and Corporate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11,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100965</wp:posOffset>
            </wp:positionV>
            <wp:extent cx="5212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3547110</wp:posOffset>
            </wp:positionV>
            <wp:extent cx="2922905" cy="5918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229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349250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151765</wp:posOffset>
            </wp:positionV>
            <wp:extent cx="5212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212090</wp:posOffset>
            </wp:positionV>
            <wp:extent cx="5212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
      <w:numFmt w:val="bullet"/>
      <w:start w:val="1"/>
    </w:lvl>
    <w:lvl w:ilvl="1">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3"/>
    </w:lvl>
    <w:lvl w:ilvl="1">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2023-04-11T15:25:07Z</dcterms:created>
  <dcterms:modified xsi:type="dcterms:W3CDTF">2023-04-11T15:25:07Z</dcterms:modified>
</cp:coreProperties>
</file>