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680720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8-K</w:t>
      </w:r>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4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 March 15, 2022</w:t>
      </w:r>
    </w:p>
    <w:p>
      <w:pPr>
        <w:spacing w:after="0" w:line="4"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7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GoHealth, Inc.</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0"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ectPr>
          <w:pgSz w:w="11900" w:h="16838" w:orient="portrait"/>
          <w:cols w:equalWidth="0" w:num="1">
            <w:col w:w="11240"/>
          </w:cols>
          <w:pgMar w:left="320" w:top="1426" w:right="339" w:bottom="1440" w:gutter="0" w:footer="0" w:header="0"/>
        </w:sectPr>
      </w:pPr>
    </w:p>
    <w:p>
      <w:pPr>
        <w:spacing w:after="0" w:line="140" w:lineRule="exact"/>
        <w:rPr>
          <w:sz w:val="24"/>
          <w:szCs w:val="24"/>
          <w:color w:val="auto"/>
        </w:rPr>
      </w:pPr>
    </w:p>
    <w:p>
      <w:pPr>
        <w:ind w:left="1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001-39390</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85-0563805</w:t>
      </w:r>
    </w:p>
    <w:p>
      <w:pPr>
        <w:spacing w:after="0" w:line="79" w:lineRule="exact"/>
        <w:rPr>
          <w:sz w:val="24"/>
          <w:szCs w:val="24"/>
          <w:color w:val="auto"/>
        </w:rPr>
      </w:pPr>
    </w:p>
    <w:p>
      <w:pPr>
        <w:sectPr>
          <w:pgSz w:w="11900" w:h="16838" w:orient="portrait"/>
          <w:cols w:equalWidth="0" w:num="3">
            <w:col w:w="4500" w:space="720"/>
            <w:col w:w="3000" w:space="720"/>
            <w:col w:w="2300"/>
          </w:cols>
          <w:pgMar w:left="320" w:top="1426" w:right="3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60" w:space="720"/>
            <w:col w:w="3120"/>
          </w:cols>
          <w:pgMar w:left="320" w:top="1426" w:right="339" w:bottom="1440" w:gutter="0" w:footer="0" w:header="0"/>
          <w:type w:val="continuous"/>
        </w:sectPr>
      </w:pPr>
    </w:p>
    <w:p>
      <w:pPr>
        <w:spacing w:after="0" w:line="69" w:lineRule="exact"/>
        <w:rPr>
          <w:sz w:val="24"/>
          <w:szCs w:val="24"/>
          <w:color w:val="auto"/>
        </w:rPr>
      </w:pPr>
    </w:p>
    <w:p>
      <w:pPr>
        <w:ind w:left="2040"/>
        <w:spacing w:after="0"/>
        <w:rPr>
          <w:sz w:val="20"/>
          <w:szCs w:val="20"/>
          <w:color w:val="auto"/>
        </w:rPr>
      </w:pPr>
      <w:r>
        <w:rPr>
          <w:rFonts w:ascii="Arial" w:cs="Arial" w:eastAsia="Arial" w:hAnsi="Arial"/>
          <w:sz w:val="16"/>
          <w:szCs w:val="16"/>
          <w:b w:val="1"/>
          <w:bCs w:val="1"/>
          <w:color w:val="auto"/>
        </w:rPr>
        <w:t>214 West Huron St.</w:t>
      </w:r>
    </w:p>
    <w:p>
      <w:pPr>
        <w:sectPr>
          <w:pgSz w:w="11900" w:h="16838" w:orient="portrait"/>
          <w:cols w:equalWidth="0" w:num="1">
            <w:col w:w="11240"/>
          </w:cols>
          <w:pgMar w:left="320" w:top="1426" w:right="339" w:bottom="1440" w:gutter="0" w:footer="0" w:header="0"/>
          <w:type w:val="continuous"/>
        </w:sectPr>
      </w:pPr>
    </w:p>
    <w:p>
      <w:pPr>
        <w:spacing w:after="0" w:line="73" w:lineRule="exact"/>
        <w:rPr>
          <w:sz w:val="24"/>
          <w:szCs w:val="24"/>
          <w:color w:val="auto"/>
        </w:rPr>
      </w:pPr>
    </w:p>
    <w:p>
      <w:pPr>
        <w:ind w:left="2100"/>
        <w:spacing w:after="0"/>
        <w:rPr>
          <w:sz w:val="20"/>
          <w:szCs w:val="20"/>
          <w:color w:val="auto"/>
        </w:rPr>
      </w:pPr>
      <w:r>
        <w:rPr>
          <w:rFonts w:ascii="Arial" w:cs="Arial" w:eastAsia="Arial" w:hAnsi="Arial"/>
          <w:sz w:val="16"/>
          <w:szCs w:val="16"/>
          <w:b w:val="1"/>
          <w:bCs w:val="1"/>
          <w:color w:val="auto"/>
        </w:rPr>
        <w:t>Chicago, Illinois</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60654</w:t>
      </w:r>
    </w:p>
    <w:p>
      <w:pPr>
        <w:spacing w:after="0" w:line="79" w:lineRule="exact"/>
        <w:rPr>
          <w:sz w:val="24"/>
          <w:szCs w:val="24"/>
          <w:color w:val="auto"/>
        </w:rPr>
      </w:pPr>
    </w:p>
    <w:p>
      <w:pPr>
        <w:sectPr>
          <w:pgSz w:w="11900" w:h="16838" w:orient="portrait"/>
          <w:cols w:equalWidth="0" w:num="2">
            <w:col w:w="7440" w:space="720"/>
            <w:col w:w="3080"/>
          </w:cols>
          <w:pgMar w:left="320" w:top="1426" w:right="33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280" w:space="720"/>
            <w:col w:w="3240"/>
          </w:cols>
          <w:pgMar w:left="320" w:top="1426" w:right="339" w:bottom="1440" w:gutter="0" w:footer="0" w:header="0"/>
          <w:type w:val="continuous"/>
        </w:sectPr>
      </w:pP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(312) 386-8200</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9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18"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06" w:lineRule="exact"/>
        <w:rPr>
          <w:sz w:val="24"/>
          <w:szCs w:val="24"/>
          <w:color w:val="auto"/>
        </w:rPr>
      </w:pPr>
    </w:p>
    <w:p>
      <w:pPr>
        <w:ind w:right="30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28" w:lineRule="exact"/>
        <w:rPr>
          <w:sz w:val="24"/>
          <w:szCs w:val="24"/>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55"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2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19"/>
                <w:szCs w:val="19"/>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Symbol(s)</w:t>
            </w:r>
          </w:p>
        </w:tc>
        <w:tc>
          <w:tcPr>
            <w:tcW w:w="100" w:type="dxa"/>
            <w:vAlign w:val="bottom"/>
          </w:tcPr>
          <w:p>
            <w:pPr>
              <w:spacing w:after="0"/>
              <w:rPr>
                <w:sz w:val="19"/>
                <w:szCs w:val="19"/>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218"/>
        </w:trPr>
        <w:tc>
          <w:tcPr>
            <w:tcW w:w="3760" w:type="dxa"/>
            <w:vAlign w:val="bottom"/>
            <w:gridSpan w:val="2"/>
          </w:tcPr>
          <w:p>
            <w:pPr>
              <w:jc w:val="center"/>
              <w:ind w:right="100"/>
              <w:spacing w:after="0"/>
              <w:rPr>
                <w:sz w:val="20"/>
                <w:szCs w:val="20"/>
                <w:color w:val="auto"/>
              </w:rPr>
            </w:pPr>
            <w:r>
              <w:rPr>
                <w:rFonts w:ascii="Arial" w:cs="Arial" w:eastAsia="Arial" w:hAnsi="Arial"/>
                <w:sz w:val="16"/>
                <w:szCs w:val="16"/>
                <w:color w:val="auto"/>
              </w:rPr>
              <w:t>Class A Common Stock,</w:t>
            </w:r>
          </w:p>
        </w:tc>
        <w:tc>
          <w:tcPr>
            <w:tcW w:w="3760" w:type="dxa"/>
            <w:vAlign w:val="bottom"/>
            <w:gridSpan w:val="2"/>
          </w:tcPr>
          <w:p>
            <w:pPr>
              <w:jc w:val="center"/>
              <w:ind w:right="100"/>
              <w:spacing w:after="0"/>
              <w:rPr>
                <w:sz w:val="20"/>
                <w:szCs w:val="20"/>
                <w:color w:val="auto"/>
              </w:rPr>
            </w:pPr>
            <w:r>
              <w:rPr>
                <w:rFonts w:ascii="Arial" w:cs="Arial" w:eastAsia="Arial" w:hAnsi="Arial"/>
                <w:sz w:val="16"/>
                <w:szCs w:val="16"/>
                <w:color w:val="auto"/>
              </w:rPr>
              <w:t>GOCO</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r>
        <w:trPr>
          <w:trHeight w:val="195"/>
        </w:trPr>
        <w:tc>
          <w:tcPr>
            <w:tcW w:w="3760" w:type="dxa"/>
            <w:vAlign w:val="bottom"/>
            <w:gridSpan w:val="2"/>
          </w:tcPr>
          <w:p>
            <w:pPr>
              <w:jc w:val="center"/>
              <w:ind w:right="100"/>
              <w:spacing w:after="0"/>
              <w:rPr>
                <w:sz w:val="20"/>
                <w:szCs w:val="20"/>
                <w:color w:val="auto"/>
              </w:rPr>
            </w:pPr>
            <w:r>
              <w:rPr>
                <w:rFonts w:ascii="Arial" w:cs="Arial" w:eastAsia="Arial" w:hAnsi="Arial"/>
                <w:sz w:val="16"/>
                <w:szCs w:val="16"/>
                <w:color w:val="auto"/>
              </w:rPr>
              <w:t>$0.0001 par value per share</w:t>
            </w:r>
          </w:p>
        </w:tc>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r>
    </w:tbl>
    <w:p>
      <w:pPr>
        <w:spacing w:after="0" w:line="210"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55" w:lineRule="exact"/>
        <w:rPr>
          <w:sz w:val="24"/>
          <w:szCs w:val="24"/>
          <w:color w:val="auto"/>
        </w:rPr>
      </w:pPr>
    </w:p>
    <w:p>
      <w:pPr>
        <w:ind w:right="14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726440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113030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type w:val="continuous"/>
        </w:sectPr>
      </w:pPr>
    </w:p>
    <w:bookmarkStart w:id="1" w:name="page2"/>
    <w:bookmarkEnd w:id="1"/>
    <w:p>
      <w:pPr>
        <w:spacing w:after="0"/>
        <w:tabs>
          <w:tab w:leader="none" w:pos="900" w:val="left"/>
        </w:tabs>
        <w:rPr>
          <w:sz w:val="20"/>
          <w:szCs w:val="20"/>
          <w:color w:val="auto"/>
        </w:rPr>
      </w:pPr>
      <w:r>
        <w:rPr>
          <w:rFonts w:ascii="Arial" w:cs="Arial" w:eastAsia="Arial" w:hAnsi="Arial"/>
          <w:sz w:val="16"/>
          <w:szCs w:val="16"/>
          <w:b w:val="1"/>
          <w:bCs w:val="1"/>
          <w:color w:val="auto"/>
        </w:rPr>
        <w:t>Item 2.02.</w:t>
        <w:tab/>
        <w:t>Results of Operations and Financial Condition.</w:t>
      </w:r>
    </w:p>
    <w:p>
      <w:pPr>
        <w:spacing w:after="0" w:line="133"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On March 15, 2022, GoHealth, Inc. issued a press release announcing its financial results for the quarter and year ended December 31, 2021. A copy of the press release is furnished as Exhibit 99.1 to this Current Report on Form 8-K.</w:t>
      </w:r>
    </w:p>
    <w:p>
      <w:pPr>
        <w:spacing w:after="0" w:line="87"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The information furnished pursuant to this Item 2.02 and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Item 9.01.</w:t>
        <w:tab/>
        <w:t>Financial Statements and Exhibits.</w:t>
      </w:r>
    </w:p>
    <w:p>
      <w:pPr>
        <w:spacing w:after="0" w:line="133"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Exhibit Number</w:t>
            </w:r>
          </w:p>
        </w:tc>
        <w:tc>
          <w:tcPr>
            <w:tcW w:w="2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6"/>
                <w:szCs w:val="16"/>
                <w:b w:val="1"/>
                <w:bCs w:val="1"/>
                <w:color w:val="auto"/>
              </w:rPr>
              <w:t>Exhibit Description</w:t>
            </w:r>
          </w:p>
        </w:tc>
      </w:tr>
      <w:tr>
        <w:trPr>
          <w:trHeight w:val="172"/>
        </w:trPr>
        <w:tc>
          <w:tcPr>
            <w:tcW w:w="1300" w:type="dxa"/>
            <w:vAlign w:val="bottom"/>
            <w:tcBorders>
              <w:top w:val="single" w:sz="8" w:color="auto"/>
            </w:tcBorders>
          </w:tcPr>
          <w:p>
            <w:pPr>
              <w:jc w:val="right"/>
              <w:ind w:right="419"/>
              <w:spacing w:after="0" w:line="172" w:lineRule="exact"/>
              <w:rPr>
                <w:sz w:val="20"/>
                <w:szCs w:val="20"/>
                <w:color w:val="auto"/>
              </w:rPr>
            </w:pPr>
            <w:r>
              <w:rPr>
                <w:rFonts w:ascii="Arial" w:cs="Arial" w:eastAsia="Arial" w:hAnsi="Arial"/>
                <w:sz w:val="16"/>
                <w:szCs w:val="16"/>
                <w:color w:val="auto"/>
              </w:rPr>
              <w:t>99.1</w:t>
            </w: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660" w:type="dxa"/>
            <w:vAlign w:val="bottom"/>
            <w:tcBorders>
              <w:top w:val="single" w:sz="8" w:color="auto"/>
              <w:bottom w:val="single" w:sz="8" w:color="0000FF"/>
            </w:tcBorders>
          </w:tcPr>
          <w:p>
            <w:pPr>
              <w:spacing w:after="0" w:line="172" w:lineRule="exact"/>
              <w:rPr>
                <w:rFonts w:ascii="Arial" w:cs="Arial" w:eastAsia="Arial" w:hAnsi="Arial"/>
                <w:sz w:val="16"/>
                <w:szCs w:val="16"/>
                <w:color w:val="0000FF"/>
              </w:rPr>
            </w:pPr>
            <w:hyperlink w:anchor="page4">
              <w:r>
                <w:rPr>
                  <w:rFonts w:ascii="Arial" w:cs="Arial" w:eastAsia="Arial" w:hAnsi="Arial"/>
                  <w:sz w:val="16"/>
                  <w:szCs w:val="16"/>
                  <w:color w:val="0000FF"/>
                </w:rPr>
                <w:t>Press release, dated March 15, 2022</w:t>
              </w:r>
            </w:hyperlink>
          </w:p>
        </w:tc>
        <w:tc>
          <w:tcPr>
            <w:tcW w:w="7180" w:type="dxa"/>
            <w:vAlign w:val="bottom"/>
            <w:tcBorders>
              <w:top w:val="single" w:sz="8" w:color="auto"/>
            </w:tcBorders>
          </w:tcPr>
          <w:p>
            <w:pPr>
              <w:spacing w:after="0"/>
              <w:rPr>
                <w:sz w:val="14"/>
                <w:szCs w:val="14"/>
                <w:color w:val="auto"/>
              </w:rPr>
            </w:pPr>
          </w:p>
        </w:tc>
      </w:tr>
      <w:tr>
        <w:trPr>
          <w:trHeight w:val="231"/>
        </w:trPr>
        <w:tc>
          <w:tcPr>
            <w:tcW w:w="1300" w:type="dxa"/>
            <w:vAlign w:val="bottom"/>
          </w:tcPr>
          <w:p>
            <w:pPr>
              <w:jc w:val="right"/>
              <w:ind w:right="439"/>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40" w:type="dxa"/>
            <w:vAlign w:val="bottom"/>
            <w:gridSpan w:val="2"/>
          </w:tcPr>
          <w:p>
            <w:pPr>
              <w:spacing w:after="0"/>
              <w:rPr>
                <w:sz w:val="20"/>
                <w:szCs w:val="20"/>
                <w:color w:val="auto"/>
              </w:rPr>
            </w:pPr>
            <w:r>
              <w:rPr>
                <w:rFonts w:ascii="Arial" w:cs="Arial" w:eastAsia="Arial" w:hAnsi="Arial"/>
                <w:sz w:val="16"/>
                <w:szCs w:val="16"/>
                <w:color w:val="auto"/>
              </w:rPr>
              <w:t>Cover Page Interactive Data File (the cover page XBRL tags are embedded within the Inline XBRL document)</w:t>
            </w:r>
          </w:p>
        </w:tc>
      </w:tr>
      <w:tr>
        <w:trPr>
          <w:trHeight w:val="985"/>
        </w:trPr>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21"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GoHealth, Inc.</w:t>
      </w:r>
    </w:p>
    <w:p>
      <w:pPr>
        <w:spacing w:after="0" w:line="25"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(Registrant)</w:t>
      </w:r>
    </w:p>
    <w:p>
      <w:pPr>
        <w:spacing w:after="0" w:line="208"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March 15, 2022</w:t>
      </w:r>
      <w:r>
        <w:rPr>
          <w:sz w:val="20"/>
          <w:szCs w:val="20"/>
          <w:color w:val="auto"/>
        </w:rPr>
        <w:tab/>
      </w:r>
      <w:r>
        <w:rPr>
          <w:rFonts w:ascii="Arial" w:cs="Arial" w:eastAsia="Arial" w:hAnsi="Arial"/>
          <w:sz w:val="15"/>
          <w:szCs w:val="15"/>
          <w:color w:val="auto"/>
        </w:rPr>
        <w:t>By: /s/ Travis J. Matthiesen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19050</wp:posOffset>
            </wp:positionV>
            <wp:extent cx="33261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53"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Travis J. Matthiesen</w:t>
      </w:r>
    </w:p>
    <w:p>
      <w:pPr>
        <w:spacing w:after="0" w:line="5"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Interim Chief Financial Officer</w:t>
      </w:r>
    </w:p>
    <w:p>
      <w:pPr>
        <w:spacing w:after="0" w:line="5" w:lineRule="exact"/>
        <w:rPr>
          <w:sz w:val="20"/>
          <w:szCs w:val="20"/>
          <w:color w:val="auto"/>
        </w:rPr>
      </w:pPr>
    </w:p>
    <w:p>
      <w:pPr>
        <w:ind w:left="6020"/>
        <w:spacing w:after="0"/>
        <w:rPr>
          <w:sz w:val="20"/>
          <w:szCs w:val="20"/>
          <w:color w:val="auto"/>
        </w:rPr>
      </w:pPr>
      <w:r>
        <w:rPr>
          <w:rFonts w:ascii="Arial" w:cs="Arial" w:eastAsia="Arial" w:hAnsi="Arial"/>
          <w:sz w:val="16"/>
          <w:szCs w:val="16"/>
          <w:i w:val="1"/>
          <w:iCs w:val="1"/>
          <w:color w:val="auto"/>
        </w:rPr>
        <w:t>(Principal Financial and Accounting Officer)</w:t>
      </w:r>
    </w:p>
    <w:p>
      <w:pPr>
        <w:sectPr>
          <w:pgSz w:w="11900" w:h="16838" w:orient="portrait"/>
          <w:cols w:equalWidth="0" w:num="1">
            <w:col w:w="11220"/>
          </w:cols>
          <w:pgMar w:left="320" w:top="999" w:right="359" w:bottom="1440" w:gutter="0" w:footer="0" w:header="0"/>
        </w:sectPr>
      </w:pPr>
    </w:p>
    <w:bookmarkStart w:id="3" w:name="page4"/>
    <w:bookmarkEnd w:id="3"/>
    <w:p>
      <w:pPr>
        <w:ind w:left="10560"/>
        <w:spacing w:after="0"/>
        <w:rPr>
          <w:sz w:val="20"/>
          <w:szCs w:val="20"/>
          <w:color w:val="auto"/>
        </w:rPr>
      </w:pPr>
      <w:r>
        <w:rPr>
          <w:rFonts w:ascii="Arial" w:cs="Arial" w:eastAsia="Arial" w:hAnsi="Arial"/>
          <w:sz w:val="13"/>
          <w:szCs w:val="13"/>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11430</wp:posOffset>
            </wp:positionV>
            <wp:extent cx="1080135" cy="5657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80135" cy="565785"/>
                    </a:xfrm>
                    <a:prstGeom prst="rect">
                      <a:avLst/>
                    </a:prstGeom>
                    <a:noFill/>
                  </pic:spPr>
                </pic:pic>
              </a:graphicData>
            </a:graphic>
          </wp:anchor>
        </w:drawing>
      </w:r>
    </w:p>
    <w:p>
      <w:pPr>
        <w:spacing w:after="0" w:line="172" w:lineRule="exact"/>
        <w:rPr>
          <w:sz w:val="20"/>
          <w:szCs w:val="20"/>
          <w:color w:val="auto"/>
        </w:rPr>
      </w:pPr>
    </w:p>
    <w:p>
      <w:pPr>
        <w:ind w:left="20"/>
        <w:spacing w:after="0"/>
        <w:rPr>
          <w:sz w:val="20"/>
          <w:szCs w:val="20"/>
          <w:color w:val="auto"/>
        </w:rPr>
      </w:pPr>
      <w:r>
        <w:rPr>
          <w:rFonts w:ascii="Arial" w:cs="Arial" w:eastAsia="Arial" w:hAnsi="Arial"/>
          <w:sz w:val="29"/>
          <w:szCs w:val="29"/>
          <w:b w:val="1"/>
          <w:bCs w:val="1"/>
          <w:color w:val="0A2299"/>
        </w:rPr>
        <w:t>GoHealth Reports Fourth Quarter and Fiscal 2021 Results</w:t>
      </w:r>
    </w:p>
    <w:p>
      <w:pPr>
        <w:ind w:left="20"/>
        <w:spacing w:after="0"/>
        <w:rPr>
          <w:sz w:val="20"/>
          <w:szCs w:val="20"/>
          <w:color w:val="auto"/>
        </w:rPr>
      </w:pPr>
      <w:r>
        <w:rPr>
          <w:rFonts w:ascii="Arial" w:cs="Arial" w:eastAsia="Arial" w:hAnsi="Arial"/>
          <w:sz w:val="22"/>
          <w:szCs w:val="22"/>
          <w:b w:val="1"/>
          <w:bCs w:val="1"/>
          <w:color w:val="6D6D6D"/>
        </w:rPr>
        <w:t>Focusing on Optimization in 2022</w:t>
      </w:r>
    </w:p>
    <w:p>
      <w:pPr>
        <w:spacing w:after="0" w:line="200" w:lineRule="exact"/>
        <w:rPr>
          <w:sz w:val="20"/>
          <w:szCs w:val="20"/>
          <w:color w:val="auto"/>
        </w:rPr>
      </w:pPr>
    </w:p>
    <w:p>
      <w:pPr>
        <w:spacing w:after="0" w:line="228" w:lineRule="exact"/>
        <w:rPr>
          <w:sz w:val="20"/>
          <w:szCs w:val="20"/>
          <w:color w:val="auto"/>
        </w:rPr>
      </w:pPr>
    </w:p>
    <w:p>
      <w:pPr>
        <w:ind w:right="420"/>
        <w:spacing w:after="0" w:line="281" w:lineRule="auto"/>
        <w:rPr>
          <w:sz w:val="20"/>
          <w:szCs w:val="20"/>
          <w:color w:val="auto"/>
        </w:rPr>
      </w:pPr>
      <w:r>
        <w:rPr>
          <w:rFonts w:ascii="Arial" w:cs="Arial" w:eastAsia="Arial" w:hAnsi="Arial"/>
          <w:sz w:val="16"/>
          <w:szCs w:val="16"/>
          <w:i w:val="1"/>
          <w:iCs w:val="1"/>
          <w:color w:val="auto"/>
        </w:rPr>
        <w:t xml:space="preserve">CHICAGO, March 15, 2022 </w:t>
      </w:r>
      <w:r>
        <w:rPr>
          <w:rFonts w:ascii="Arial" w:cs="Arial" w:eastAsia="Arial" w:hAnsi="Arial"/>
          <w:sz w:val="16"/>
          <w:szCs w:val="16"/>
          <w:color w:val="auto"/>
        </w:rPr>
        <w:t>— GoHealth, Inc. (Nasdaq: GOCO), a leading health insurance marketplace and Medicare-focused digital health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announced financial results for the three and twelve months ended December 31, 2021.</w:t>
      </w:r>
    </w:p>
    <w:p>
      <w:pPr>
        <w:spacing w:after="0" w:line="112" w:lineRule="exact"/>
        <w:rPr>
          <w:sz w:val="20"/>
          <w:szCs w:val="20"/>
          <w:color w:val="auto"/>
        </w:rPr>
      </w:pPr>
    </w:p>
    <w:p>
      <w:pPr>
        <w:ind w:left="560" w:right="160"/>
        <w:spacing w:after="0" w:line="233" w:lineRule="auto"/>
        <w:rPr>
          <w:sz w:val="20"/>
          <w:szCs w:val="20"/>
          <w:color w:val="auto"/>
        </w:rPr>
      </w:pPr>
      <w:r>
        <w:rPr>
          <w:rFonts w:ascii="Arial" w:cs="Arial" w:eastAsia="Arial" w:hAnsi="Arial"/>
          <w:sz w:val="16"/>
          <w:szCs w:val="16"/>
          <w:color w:val="auto"/>
        </w:rPr>
        <w:t>Fourth quarter 2021 net revenue of $449.6 million increased 1% compared to the prior year period, and fiscal year 2021 net revenue of $1,062.4 million increased 21% compared to the prior year period. These are inclusive of an incremental 15% Medicare Advantage (‘MA”) lifetime value (“LTV”) constraint applied to all MA policies sold in the fourth quarter of 2021 and negative revenue adjustments relating to performance obligations satisfied in 2018, 2019, 2020, and the first nine months of 2021 (the “Lookback Adjustments”) of $155.0 million for the fourth quarter of 2021 and $165.3 million for the year ended December 31, 2021, as further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-447675</wp:posOffset>
            </wp:positionV>
            <wp:extent cx="171450" cy="265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 cy="26543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48895</wp:posOffset>
            </wp:positionV>
            <wp:extent cx="171450" cy="265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 cy="265430"/>
                    </a:xfrm>
                    <a:prstGeom prst="rect">
                      <a:avLst/>
                    </a:prstGeom>
                    <a:noFill/>
                  </pic:spPr>
                </pic:pic>
              </a:graphicData>
            </a:graphic>
          </wp:anchor>
        </w:drawing>
      </w:r>
    </w:p>
    <w:p>
      <w:pPr>
        <w:spacing w:after="0" w:line="140" w:lineRule="exact"/>
        <w:rPr>
          <w:sz w:val="20"/>
          <w:szCs w:val="20"/>
          <w:color w:val="auto"/>
        </w:rPr>
      </w:pPr>
    </w:p>
    <w:p>
      <w:pPr>
        <w:ind w:left="560" w:right="500"/>
        <w:spacing w:after="0" w:line="232" w:lineRule="auto"/>
        <w:rPr>
          <w:sz w:val="20"/>
          <w:szCs w:val="20"/>
          <w:color w:val="auto"/>
        </w:rPr>
      </w:pPr>
      <w:r>
        <w:rPr>
          <w:rFonts w:ascii="Arial" w:cs="Arial" w:eastAsia="Arial" w:hAnsi="Arial"/>
          <w:sz w:val="16"/>
          <w:szCs w:val="16"/>
          <w:color w:val="auto"/>
        </w:rPr>
        <w:t>Fourth quarter 2021 net loss of $432.3 million and fiscal year 2021 net loss of $534.2 million, inclusive of $386.6 million of goodwill impairment charges.</w:t>
      </w:r>
    </w:p>
    <w:p>
      <w:pPr>
        <w:spacing w:after="0" w:line="141" w:lineRule="exact"/>
        <w:rPr>
          <w:sz w:val="20"/>
          <w:szCs w:val="20"/>
          <w:color w:val="auto"/>
        </w:rPr>
      </w:pPr>
    </w:p>
    <w:p>
      <w:pPr>
        <w:ind w:left="560" w:right="140"/>
        <w:spacing w:after="0" w:line="204" w:lineRule="auto"/>
        <w:rPr>
          <w:sz w:val="20"/>
          <w:szCs w:val="20"/>
          <w:color w:val="auto"/>
        </w:rPr>
      </w:pPr>
      <w:r>
        <w:rPr>
          <w:rFonts w:ascii="Arial" w:cs="Arial" w:eastAsia="Arial" w:hAnsi="Arial"/>
          <w:sz w:val="16"/>
          <w:szCs w:val="16"/>
          <w:color w:val="auto"/>
        </w:rPr>
        <w:t>Fourth quarter 2021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$1.5 million decreased 99% compared to the prior year period, and fiscal year 2021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$33.8 million decreased 88% compared to the prior year period.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includes the negative impact of the Lookback Adjustments for both the fourth quarter of 2021 and the year ended December 31, 2021 and is inclusive of an incremental 15% constraint applied to all MA policies sold in the fourth quarter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-389255</wp:posOffset>
            </wp:positionV>
            <wp:extent cx="171450" cy="2660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 cy="26606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46990</wp:posOffset>
            </wp:positionV>
            <wp:extent cx="171450"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 cy="265430"/>
                    </a:xfrm>
                    <a:prstGeom prst="rect">
                      <a:avLst/>
                    </a:prstGeom>
                    <a:noFill/>
                  </pic:spPr>
                </pic:pic>
              </a:graphicData>
            </a:graphic>
          </wp:anchor>
        </w:drawing>
      </w:r>
    </w:p>
    <w:p>
      <w:pPr>
        <w:spacing w:after="0" w:line="137" w:lineRule="exact"/>
        <w:rPr>
          <w:sz w:val="20"/>
          <w:szCs w:val="20"/>
          <w:color w:val="auto"/>
        </w:rPr>
      </w:pPr>
    </w:p>
    <w:p>
      <w:pPr>
        <w:ind w:left="560" w:right="220"/>
        <w:spacing w:after="0" w:line="232" w:lineRule="auto"/>
        <w:rPr>
          <w:sz w:val="20"/>
          <w:szCs w:val="20"/>
          <w:color w:val="auto"/>
        </w:rPr>
      </w:pPr>
      <w:r>
        <w:rPr>
          <w:rFonts w:ascii="Arial" w:cs="Arial" w:eastAsia="Arial" w:hAnsi="Arial"/>
          <w:sz w:val="16"/>
          <w:szCs w:val="16"/>
          <w:color w:val="auto"/>
        </w:rPr>
        <w:t>Fourth quarter 2021 MA Carrier Approved Submissions (“CAS”) of 653,620 increased 99% compared to the prior year period, and fiscal year 2021 MA CAS’s of 1,170,603 increased 84% compared to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81280</wp:posOffset>
            </wp:positionV>
            <wp:extent cx="17145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 cy="265430"/>
                    </a:xfrm>
                    <a:prstGeom prst="rect">
                      <a:avLst/>
                    </a:prstGeom>
                    <a:noFill/>
                  </pic:spPr>
                </pic:pic>
              </a:graphicData>
            </a:graphic>
          </wp:anchor>
        </w:drawing>
      </w:r>
    </w:p>
    <w:p>
      <w:pPr>
        <w:spacing w:after="0" w:line="178" w:lineRule="exact"/>
        <w:rPr>
          <w:sz w:val="20"/>
          <w:szCs w:val="20"/>
          <w:color w:val="auto"/>
        </w:rPr>
      </w:pPr>
    </w:p>
    <w:p>
      <w:pPr>
        <w:ind w:left="560" w:right="400"/>
        <w:spacing w:after="0" w:line="242" w:lineRule="auto"/>
        <w:rPr>
          <w:sz w:val="20"/>
          <w:szCs w:val="20"/>
          <w:color w:val="auto"/>
        </w:rPr>
      </w:pPr>
      <w:r>
        <w:rPr>
          <w:rFonts w:ascii="Arial" w:cs="Arial" w:eastAsia="Arial" w:hAnsi="Arial"/>
          <w:sz w:val="16"/>
          <w:szCs w:val="16"/>
          <w:color w:val="auto"/>
        </w:rPr>
        <w:t>Negative revenue Lookback Adjustments were $155.0 million for the fourth quarter of 2021 and $165.3 million 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88900</wp:posOffset>
            </wp:positionV>
            <wp:extent cx="179705" cy="257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9705" cy="257175"/>
                    </a:xfrm>
                    <a:prstGeom prst="rect">
                      <a:avLst/>
                    </a:prstGeom>
                    <a:noFill/>
                  </pic:spPr>
                </pic:pic>
              </a:graphicData>
            </a:graphic>
          </wp:anchor>
        </w:drawing>
      </w:r>
    </w:p>
    <w:p>
      <w:pPr>
        <w:spacing w:after="0" w:line="122" w:lineRule="exact"/>
        <w:rPr>
          <w:sz w:val="20"/>
          <w:szCs w:val="20"/>
          <w:color w:val="auto"/>
        </w:rPr>
      </w:pPr>
    </w:p>
    <w:p>
      <w:pPr>
        <w:ind w:left="560" w:right="280"/>
        <w:spacing w:after="0" w:line="204" w:lineRule="auto"/>
        <w:rPr>
          <w:sz w:val="20"/>
          <w:szCs w:val="20"/>
          <w:color w:val="auto"/>
        </w:rPr>
      </w:pPr>
      <w:r>
        <w:rPr>
          <w:rFonts w:ascii="Arial" w:cs="Arial" w:eastAsia="Arial" w:hAnsi="Arial"/>
          <w:sz w:val="16"/>
          <w:szCs w:val="16"/>
          <w:color w:val="auto"/>
        </w:rPr>
        <w:t>The Company provided its full year 2022 outlook, and expects total net revenue of $900 - $1,100 million (-15% to +4%) powered by commission revenue of $700 - $900 million (-21% to +2%). The company expects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$110 - $150 million (+224% to +343%). The Company also expects negative cash flow from operations of $50 - $10 million (+83% to +97%).</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2021 Highlights</w:t>
      </w:r>
      <w:r>
        <w:rPr>
          <w:rFonts w:ascii="Arial" w:cs="Arial" w:eastAsia="Arial" w:hAnsi="Arial"/>
          <w:sz w:val="21"/>
          <w:szCs w:val="21"/>
          <w:b w:val="1"/>
          <w:bCs w:val="1"/>
          <w:color w:val="0A2299"/>
          <w:vertAlign w:val="superscript"/>
        </w:rPr>
        <w:t>3</w:t>
      </w:r>
    </w:p>
    <w:p>
      <w:pPr>
        <w:spacing w:after="0" w:line="84"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Total company revenue grew 21% to $1,062.4 million</w:t>
      </w:r>
    </w:p>
    <w:p>
      <w:pPr>
        <w:spacing w:after="0" w:line="96" w:lineRule="exact"/>
        <w:rPr>
          <w:rFonts w:ascii="Arial" w:cs="Arial" w:eastAsia="Arial" w:hAnsi="Arial"/>
          <w:sz w:val="16"/>
          <w:szCs w:val="16"/>
          <w:color w:val="auto"/>
        </w:rPr>
      </w:pPr>
    </w:p>
    <w:p>
      <w:pPr>
        <w:ind w:left="1300" w:hanging="320"/>
        <w:spacing w:after="0"/>
        <w:tabs>
          <w:tab w:leader="none" w:pos="1300" w:val="left"/>
        </w:tabs>
        <w:numPr>
          <w:ilvl w:val="1"/>
          <w:numId w:val="3"/>
        </w:numPr>
        <w:rPr>
          <w:rFonts w:ascii="Arial" w:cs="Arial" w:eastAsia="Arial" w:hAnsi="Arial"/>
          <w:sz w:val="16"/>
          <w:szCs w:val="16"/>
          <w:color w:val="auto"/>
        </w:rPr>
      </w:pPr>
      <w:r>
        <w:rPr>
          <w:rFonts w:ascii="Arial" w:cs="Arial" w:eastAsia="Arial" w:hAnsi="Arial"/>
          <w:sz w:val="16"/>
          <w:szCs w:val="16"/>
          <w:color w:val="auto"/>
        </w:rPr>
        <w:t>Total Medicare Submitted Policies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grew 75% during 2021 to 1,273,859</w:t>
      </w:r>
    </w:p>
    <w:p>
      <w:pPr>
        <w:spacing w:after="0" w:line="7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Medicare—Internal revenue increased 27% to $844.9 million</w:t>
      </w:r>
    </w:p>
    <w:p>
      <w:pPr>
        <w:spacing w:after="0" w:line="113" w:lineRule="exact"/>
        <w:rPr>
          <w:rFonts w:ascii="Arial" w:cs="Arial" w:eastAsia="Arial" w:hAnsi="Arial"/>
          <w:sz w:val="16"/>
          <w:szCs w:val="16"/>
          <w:color w:val="auto"/>
        </w:rPr>
      </w:pPr>
    </w:p>
    <w:p>
      <w:pPr>
        <w:ind w:left="1300" w:hanging="320"/>
        <w:spacing w:after="0"/>
        <w:tabs>
          <w:tab w:leader="none" w:pos="1300" w:val="left"/>
        </w:tabs>
        <w:numPr>
          <w:ilvl w:val="1"/>
          <w:numId w:val="3"/>
        </w:numPr>
        <w:rPr>
          <w:rFonts w:ascii="Arial" w:cs="Arial" w:eastAsia="Arial" w:hAnsi="Arial"/>
          <w:sz w:val="16"/>
          <w:szCs w:val="16"/>
          <w:color w:val="auto"/>
        </w:rPr>
      </w:pPr>
      <w:r>
        <w:rPr>
          <w:rFonts w:ascii="Arial" w:cs="Arial" w:eastAsia="Arial" w:hAnsi="Arial"/>
          <w:sz w:val="16"/>
          <w:szCs w:val="16"/>
          <w:color w:val="auto"/>
        </w:rPr>
        <w:t>Medicare—Internal segment profit decreased 72% to $84.3 million, with a 10% margin</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Encompass revenue of $72 million</w:t>
      </w:r>
    </w:p>
    <w:p>
      <w:pPr>
        <w:spacing w:after="0" w:line="96"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decreased 88% to $33.8 million, resulting in full-year Adjusted EBITDA margins of 3%</w:t>
      </w:r>
    </w:p>
    <w:p>
      <w:pPr>
        <w:spacing w:after="0" w:line="7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LTV per carrier Approved MA Submission decreased 7% from $900 in 2020 to $842 in 2021, adjusted for the impact of the Lookback Adjustments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Grew commissions receivable balance by $452.1 million (+56%) in 2021 to $1,262.5 million</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Fourth Quarter AEP Highlights</w:t>
      </w:r>
      <w:r>
        <w:rPr>
          <w:rFonts w:ascii="Arial" w:cs="Arial" w:eastAsia="Arial" w:hAnsi="Arial"/>
          <w:sz w:val="21"/>
          <w:szCs w:val="21"/>
          <w:b w:val="1"/>
          <w:bCs w:val="1"/>
          <w:color w:val="0A2299"/>
          <w:vertAlign w:val="superscript"/>
        </w:rPr>
        <w:t>3</w:t>
      </w:r>
    </w:p>
    <w:p>
      <w:pPr>
        <w:spacing w:after="0" w:line="84"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Total company revenue grew 1% to $449.6 million</w:t>
      </w:r>
    </w:p>
    <w:p>
      <w:pPr>
        <w:spacing w:after="0" w:line="113" w:lineRule="exact"/>
        <w:rPr>
          <w:rFonts w:ascii="Arial" w:cs="Arial" w:eastAsia="Arial" w:hAnsi="Arial"/>
          <w:sz w:val="16"/>
          <w:szCs w:val="16"/>
          <w:color w:val="auto"/>
        </w:rPr>
      </w:pPr>
    </w:p>
    <w:p>
      <w:pPr>
        <w:ind w:left="1300" w:hanging="320"/>
        <w:spacing w:after="0"/>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Total Medicare Submitted Policies grew 93% during the fourth quarter to 723,884</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Medicare—Internal revenue increased 5% to $368.5 million</w:t>
      </w:r>
    </w:p>
    <w:p>
      <w:pPr>
        <w:spacing w:after="0" w:line="113" w:lineRule="exact"/>
        <w:rPr>
          <w:rFonts w:ascii="Arial" w:cs="Arial" w:eastAsia="Arial" w:hAnsi="Arial"/>
          <w:sz w:val="16"/>
          <w:szCs w:val="16"/>
          <w:color w:val="auto"/>
        </w:rPr>
      </w:pPr>
    </w:p>
    <w:p>
      <w:pPr>
        <w:ind w:left="1300" w:hanging="320"/>
        <w:spacing w:after="0"/>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Medicare—Internal segment profit decreased 94% to $10.8 million, with a 3% margin</w:t>
      </w:r>
    </w:p>
    <w:p>
      <w:pPr>
        <w:spacing w:after="0" w:line="96"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decreased 99% to $1.5 million, resulting in Adjusted EBITDA margins of 0.3%</w:t>
      </w:r>
    </w:p>
    <w:p>
      <w:pPr>
        <w:spacing w:after="0" w:line="71" w:lineRule="exact"/>
        <w:rPr>
          <w:rFonts w:ascii="Arial" w:cs="Arial" w:eastAsia="Arial" w:hAnsi="Arial"/>
          <w:sz w:val="16"/>
          <w:szCs w:val="16"/>
          <w:color w:val="auto"/>
        </w:rPr>
      </w:pPr>
    </w:p>
    <w:p>
      <w:pPr>
        <w:ind w:left="1300" w:right="300" w:hanging="320"/>
        <w:spacing w:after="0" w:line="260" w:lineRule="auto"/>
        <w:tabs>
          <w:tab w:leader="none" w:pos="1290" w:val="left"/>
        </w:tabs>
        <w:numPr>
          <w:ilvl w:val="1"/>
          <w:numId w:val="4"/>
        </w:numPr>
        <w:rPr>
          <w:rFonts w:ascii="Arial" w:cs="Arial" w:eastAsia="Arial" w:hAnsi="Arial"/>
          <w:sz w:val="16"/>
          <w:szCs w:val="16"/>
          <w:color w:val="auto"/>
        </w:rPr>
      </w:pPr>
      <w:r>
        <w:rPr>
          <w:rFonts w:ascii="Arial" w:cs="Arial" w:eastAsia="Arial" w:hAnsi="Arial"/>
          <w:sz w:val="16"/>
          <w:szCs w:val="16"/>
          <w:color w:val="auto"/>
        </w:rPr>
        <w:t>LTV per carrier Approved MA Submission decreased 15% from $949 in the fourth quarter of 2020 to $810 in the fourth quarter of 2021, adjusted for the impact of the Lookback Adjustments</w:t>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74" w:right="339" w:bottom="1440" w:gutter="0" w:footer="0" w:header="0"/>
        </w:sectPr>
      </w:pPr>
    </w:p>
    <w:bookmarkStart w:id="4" w:name="page5"/>
    <w:bookmarkEnd w:id="4"/>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2022 Financial Outlook</w:t>
      </w:r>
    </w:p>
    <w:p>
      <w:pPr>
        <w:spacing w:after="0" w:line="133"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color w:val="auto"/>
        </w:rPr>
        <w:t>The trajectory of the US economy remains challenging to predict, particularly given the continued uncertainty associated with the pace of recovery from the COVID-19 pandemic. The Company has provided its financial outlook for the fiscal year ending December 31, 2022 based on current market conditions and expectations:</w:t>
      </w:r>
    </w:p>
    <w:p>
      <w:pPr>
        <w:spacing w:after="0" w:line="73"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Full-year 2022 net revenue of $900 - $1,100 million, representing year-over-year growth of (15)% - 4%</w:t>
      </w:r>
    </w:p>
    <w:p>
      <w:pPr>
        <w:spacing w:after="0" w:line="113" w:lineRule="exact"/>
        <w:rPr>
          <w:rFonts w:ascii="Arial" w:cs="Arial" w:eastAsia="Arial" w:hAnsi="Arial"/>
          <w:sz w:val="16"/>
          <w:szCs w:val="16"/>
          <w:b w:val="1"/>
          <w:bCs w:val="1"/>
          <w:i w:val="1"/>
          <w:iCs w:val="1"/>
          <w:color w:val="auto"/>
        </w:rPr>
      </w:pPr>
    </w:p>
    <w:p>
      <w:pPr>
        <w:ind w:left="1300" w:right="580" w:hanging="320"/>
        <w:spacing w:after="0" w:line="286" w:lineRule="auto"/>
        <w:tabs>
          <w:tab w:leader="none" w:pos="1290" w:val="left"/>
        </w:tabs>
        <w:numPr>
          <w:ilvl w:val="1"/>
          <w:numId w:val="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Full-year 2022 commission revenue of $700 - $900 million, representing year-over-year growth of (21)% - 2%, fueled by the Company’s continued investment in its Medicare business</w:t>
      </w:r>
    </w:p>
    <w:p>
      <w:pPr>
        <w:spacing w:after="0" w:line="47" w:lineRule="exact"/>
        <w:rPr>
          <w:rFonts w:ascii="Arial" w:cs="Arial" w:eastAsia="Arial" w:hAnsi="Arial"/>
          <w:sz w:val="16"/>
          <w:szCs w:val="16"/>
          <w:b w:val="1"/>
          <w:bCs w:val="1"/>
          <w:i w:val="1"/>
          <w:iCs w:val="1"/>
          <w:color w:val="auto"/>
        </w:rPr>
      </w:pPr>
    </w:p>
    <w:p>
      <w:pPr>
        <w:ind w:left="640" w:hanging="308"/>
        <w:spacing w:after="0"/>
        <w:tabs>
          <w:tab w:leader="none" w:pos="640" w:val="left"/>
        </w:tabs>
        <w:numPr>
          <w:ilvl w:val="0"/>
          <w:numId w:val="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Full-year 2022 Adjusted EBITDA of $110 - $150 million, representing year-over-year growth of 224% - 343%</w:t>
      </w:r>
    </w:p>
    <w:p>
      <w:pPr>
        <w:spacing w:after="0" w:line="113" w:lineRule="exact"/>
        <w:rPr>
          <w:rFonts w:ascii="Arial" w:cs="Arial" w:eastAsia="Arial" w:hAnsi="Arial"/>
          <w:sz w:val="16"/>
          <w:szCs w:val="16"/>
          <w:b w:val="1"/>
          <w:bCs w:val="1"/>
          <w:i w:val="1"/>
          <w:iCs w:val="1"/>
          <w:color w:val="auto"/>
        </w:rPr>
      </w:pPr>
    </w:p>
    <w:p>
      <w:pPr>
        <w:ind w:left="640" w:hanging="308"/>
        <w:spacing w:after="0"/>
        <w:tabs>
          <w:tab w:leader="none" w:pos="640" w:val="left"/>
        </w:tabs>
        <w:numPr>
          <w:ilvl w:val="0"/>
          <w:numId w:val="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Full-year 2022 cash flow from operations of ($50) - ($10) million, representing year-over-year improvement of 83% to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0A2299"/>
        </w:rPr>
        <w:t>Conference Call Details</w:t>
      </w:r>
    </w:p>
    <w:p>
      <w:pPr>
        <w:spacing w:after="0" w:line="66" w:lineRule="exact"/>
        <w:rPr>
          <w:sz w:val="20"/>
          <w:szCs w:val="20"/>
          <w:color w:val="auto"/>
        </w:rPr>
      </w:pPr>
    </w:p>
    <w:p>
      <w:pPr>
        <w:ind w:right="40"/>
        <w:spacing w:after="0" w:line="235" w:lineRule="auto"/>
        <w:rPr>
          <w:sz w:val="20"/>
          <w:szCs w:val="20"/>
          <w:color w:val="auto"/>
        </w:rPr>
      </w:pPr>
      <w:r>
        <w:rPr>
          <w:rFonts w:ascii="Arial" w:cs="Arial" w:eastAsia="Arial" w:hAnsi="Arial"/>
          <w:sz w:val="16"/>
          <w:szCs w:val="16"/>
          <w:color w:val="auto"/>
        </w:rPr>
        <w:t>The Company will host a conference call today, Tuesday, March 15, 2022 at 5:00 p.m. (ET) to discuss its financial results. A live audio webcast and a supplemental presentation will be available online at https://investors.gohealth.com. The conference call can also be accessed by dialing 1-833-519-1310 for U.S. participants, or 1-914-800-3876 for international participants, and referencing participant code 2679849. A replay of the call will be available for 30 days via webcast for on-demand listening shortly after the completion of the call, at the same web link.</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About GoHealth, Inc.:</w:t>
      </w:r>
    </w:p>
    <w:p>
      <w:pPr>
        <w:spacing w:after="0" w:line="66" w:lineRule="exact"/>
        <w:rPr>
          <w:sz w:val="20"/>
          <w:szCs w:val="20"/>
          <w:color w:val="auto"/>
        </w:rPr>
      </w:pPr>
    </w:p>
    <w:p>
      <w:pPr>
        <w:ind w:right="60"/>
        <w:spacing w:after="0" w:line="233" w:lineRule="auto"/>
        <w:rPr>
          <w:sz w:val="20"/>
          <w:szCs w:val="20"/>
          <w:color w:val="auto"/>
        </w:rPr>
      </w:pPr>
      <w:r>
        <w:rPr>
          <w:rFonts w:ascii="Arial" w:cs="Arial" w:eastAsia="Arial" w:hAnsi="Arial"/>
          <w:sz w:val="16"/>
          <w:szCs w:val="16"/>
          <w:color w:val="auto"/>
        </w:rPr>
        <w:t>As a leading health insurance marketplace and Medicare-focused digital health company, GoHealth's mission is to improve access to healthcare in America. Enrolling in a health insurance plan can be confusing for customers, and the seemingly small differences between plans can lead to significant out-of-pocket costs or lack of access to critical medicines and even providers. GoHealth combines cutting-edge technology, data science and deep industry expertise to match customers with the healthcare policy and carrier that is right for them. GoHealth has enrolled millions of people in Medicare and individual and family plans. For more information, visit https://www.gohealth.com.</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Investor Relations: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IR@gohealth.com</w:t>
      </w:r>
    </w:p>
    <w:p>
      <w:pPr>
        <w:spacing w:after="0" w:line="22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Media Relations: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Pressinquiries@gohealth.com</w:t>
      </w:r>
    </w:p>
    <w:p>
      <w:pPr>
        <w:spacing w:after="0" w:line="336"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Adjusted EBITDA is a non-GAAP measure. For a definition of Adjusted EBITDA and a reconciliation to the most comparable GAAP measure, please see below.</w:t>
      </w:r>
    </w:p>
    <w:p>
      <w:pPr>
        <w:spacing w:after="0" w:line="11" w:lineRule="exact"/>
        <w:rPr>
          <w:rFonts w:ascii="Arial" w:cs="Arial" w:eastAsia="Arial" w:hAnsi="Arial"/>
          <w:sz w:val="13"/>
          <w:szCs w:val="13"/>
          <w:i w:val="1"/>
          <w:iCs w:val="1"/>
          <w:color w:val="auto"/>
        </w:rPr>
      </w:pPr>
    </w:p>
    <w:p>
      <w:pPr>
        <w:ind w:left="320" w:hanging="312"/>
        <w:spacing w:after="0"/>
        <w:tabs>
          <w:tab w:leader="none" w:pos="32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Total Medicare Advantage Submitted Policies includes Commissionable and non-Commissionable Policies.</w:t>
      </w:r>
    </w:p>
    <w:p>
      <w:pPr>
        <w:ind w:left="320" w:hanging="312"/>
        <w:spacing w:after="0"/>
        <w:tabs>
          <w:tab w:leader="none" w:pos="32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Fourth quarter and fiscal year 2021 results compared to the comparable prior year period.</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877"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0A2299"/>
        </w:rPr>
        <w:t>Forward-Looking Statements</w:t>
      </w:r>
    </w:p>
    <w:p>
      <w:pPr>
        <w:spacing w:after="0" w:line="133"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This release contains forward-looking statements within the meaning of the Private Securities Litigation Reform Act of 1995. All statements other than statements of historical facts contained in this press release may be forward-looking statements. Statements regarding the Company’s future results of operations and financial position, business strategy and plans and objectives of management for future operations often include forwarding-looking statements, including, but not limited to, statements regarding expected financial performance and operational performance, including with respect to revenue and Adjusted EBITDA, the growth of our membership base, our ability to realize the potential of our market opportunity, and 2022 annual guidance. In some cases, you can identify forward-looking statements by terms, such as “may,” “will,” “should,” “expects,” “plans,” “anticipates,” “could,” “intends,” “targets,” “projects,” “contemplates,” “believes,” “estimates,” “predicts,” “potential” or “continue” or the negative of these terms or other similar expressions. Accordingly, we caution you that any such forward-looking statements are not guarantees of future performance and are subject to risks, assumptions and uncertainties that are difficult to predict. Although the Company believes that the expectations reflected in these forward-looking statements are reasonable as of the date made, actual results may prove to be materially different from the results expressed or implied by the forward-looking statements. There are or will be important factors that could cause the Company’s actual results to differ materially from those indicated in these forward-looking statements, including, but not limited to, the following: the Company’s ability to comply with the numerous, complex and frequently changing laws regulating the marketing and sale of Medicare plans; the potential for an adverse change in the Company’s relationships with carriers, including a loss of a carrier relationship, reduction in revenue or consolidation of carriers; carriers’ ability to reduce commissions paid to the Company and adversely change their underwriting practices; information technology systems failures or capacity constraints interrupting the Company’s operations; factors that adversely impact the Company’s estimate of LTV; the Company’s dependence on agents to sell insurance plans; our ability to obtain the capital needed to operate and grow our business; attracting qualified employees and retaining key employees; and the impact of global economic conditions. The foregoing factors should not be construed as exhaustive and should be read together with the other cautionary statements included in this press release, as well as the cautionary statements and other risk factors set forth in the Company’s Annual Report on Form 10-K for the year ended December 31, 2020 and other SEC filings. If one or more events related to these or other risks or uncertainties materialize, or if the Company’s underlying assumptions prove to be incorrect, actual results may differ materially from what the Company anticipates. Many of the important factors that will determine these results are beyond the Company’s ability to control or predict and are reliant on the actions taken or to be taken by third parties. Accordingly, you should not place undue reliance on any such forward-looking statements. Any forward-looking statement speaks only as of the date on which it is made, and, except as otherwise required by law, the Company does not undertake any obligation to publicly update or review any forward-looking statement, whether as a result of new information, future developments or otherwise, including any guidance provided. New factors emerge from time-to-time, and it is not possible for us to predict which will arise. In addition, the Company cannot assess the impact of each factor on its business or the extent to which any factor, or combination of factors, may cause actual results to differ materially from those contained in any forward-looking statements.</w:t>
      </w:r>
    </w:p>
    <w:p>
      <w:pPr>
        <w:spacing w:after="0" w:line="99"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In addition, the Company is required to comply with Accounting Standards Codification 606 – Revenue from Contracts with Customers. This standard requires the Company to make numerous assumptions that are based upon historical trends and management’s judgment. These assumptions may change over time and may have a material impact on revenue recognition, guidance and results of operations. Please review our assumptions stated in this press release careful as well as our associated risk factors in our most recent annual report on Form 10-K and any subsequent quarterly reports on Form 10-Q. You can obtain copies of GoHealth’s filings with the SEC for free at the SEC’s website (www.SEC.gov).</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Use of Non-GAAP Financial Measures and Key Performance Indicators</w:t>
      </w:r>
    </w:p>
    <w:p>
      <w:pPr>
        <w:spacing w:after="0" w:line="133"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In this press release, we use supplemental measures of our performance that are derived from our consolidated financial information, but which are not presented in our Consolidated Financial Statements prepared in accordance with Generally Accepted Accounting Principles (GAAP). These non-GAAP financial measures include net income (loss) before interest expense, income tax expense (benefit) and depreciation and amortization expense, or EBITDA; Adjusted EBITDA and Adjusted EBITDA margin. Adjusted EBITDA is the primary financial performance measure used by management to evaluate its business and monitor its results of operations.</w:t>
      </w:r>
    </w:p>
    <w:p>
      <w:pPr>
        <w:spacing w:after="0" w:line="95" w:lineRule="exact"/>
        <w:rPr>
          <w:sz w:val="20"/>
          <w:szCs w:val="20"/>
          <w:color w:val="auto"/>
        </w:rPr>
      </w:pPr>
    </w:p>
    <w:p>
      <w:pPr>
        <w:ind w:right="340"/>
        <w:spacing w:after="0" w:line="251" w:lineRule="auto"/>
        <w:rPr>
          <w:sz w:val="20"/>
          <w:szCs w:val="20"/>
          <w:color w:val="auto"/>
        </w:rPr>
      </w:pPr>
      <w:r>
        <w:rPr>
          <w:rFonts w:ascii="Arial" w:cs="Arial" w:eastAsia="Arial" w:hAnsi="Arial"/>
          <w:sz w:val="16"/>
          <w:szCs w:val="16"/>
          <w:color w:val="auto"/>
        </w:rPr>
        <w:t>Adjusted EBITDA represents, as applicable for the period, EBITDA as further adjusted for goodwill impairment charges, share-based compensation expense, accelerated vesting of certain equity awards, loss on extinguishment of debt, loss on sublease, non-recurring legal fees, change in fair value of contingent consideration liability, one time indirect costs in connection with our IPO, and severance costs. Adjusted EBITDA margin represents Adjusted EBITDA divided by net revenues.</w:t>
      </w:r>
    </w:p>
    <w:p>
      <w:pPr>
        <w:spacing w:after="0" w:line="94"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in this press release.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877" w:right="339" w:bottom="1440" w:gutter="0" w:footer="0" w:header="0"/>
        </w:sectPr>
      </w:pPr>
    </w:p>
    <w:bookmarkStart w:id="7" w:name="page8"/>
    <w:bookmarkEnd w:id="7"/>
    <w:p>
      <w:pPr>
        <w:ind w:right="60"/>
        <w:spacing w:after="0" w:line="249" w:lineRule="auto"/>
        <w:rPr>
          <w:sz w:val="20"/>
          <w:szCs w:val="20"/>
          <w:color w:val="auto"/>
        </w:rPr>
      </w:pPr>
      <w:r>
        <w:rPr>
          <w:rFonts w:ascii="Arial" w:cs="Arial" w:eastAsia="Arial" w:hAnsi="Arial"/>
          <w:sz w:val="16"/>
          <w:szCs w:val="16"/>
          <w:color w:val="auto"/>
        </w:rPr>
        <w:t>The non-GAAP financial measures are not meant to be considered as indicators of performance in isolation from or as a substitute for net income (loss) prepared in accordance with GAAP, and should be read only in conjunction with financial information presented on a GAAP basis. Reconciliations of each of EBITDA and Adjusted EBITDA to its most directly comparable GAAP financial measure, net income (loss), are presented in the tables below in this press release. We encourage you to review the reconciliations in conjunction with the presentation of the non-GAAP financial measures for each of the periods presented. In future periods, we may exclude similar items, may incur income and expenses similar to these excluded items and include other expenses, costs and non-recurring items.</w:t>
      </w:r>
    </w:p>
    <w:p>
      <w:pPr>
        <w:spacing w:after="0" w:line="97"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Management has provided its outlook and guidance regarding adjusted EBITDA, which is a non-GAAP financial measure and excludes certain charges. Management has not reconciled these non-GAAP financial measures to the corresponding GAAP financial measures because guidance for the various reconciling items are not provided. Management is unable to provide guidance for these reconciling items because we cannot determine their probable significance, as certain items are outside of our control and cannot be reasonably predicted since these items could vary significantly from period to period. Accordingly, reconciliations to the corresponding GAAP financial measures are not available without unreasonable effort.</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Glossary</w:t>
      </w:r>
    </w:p>
    <w:p>
      <w:pPr>
        <w:spacing w:after="0" w:line="117" w:lineRule="exact"/>
        <w:rPr>
          <w:sz w:val="20"/>
          <w:szCs w:val="20"/>
          <w:color w:val="auto"/>
        </w:rPr>
      </w:pPr>
    </w:p>
    <w:p>
      <w:pPr>
        <w:ind w:right="340"/>
        <w:spacing w:after="0" w:line="263"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represents, as applicable for the period, EBITDA as further adjusted for goodwill impairment charges, share-based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accelerated vesting of certain equity awards, loss on extinguishment of debt, loss on sublease, non-recurring legal fees, change in fair value of contingent consideration liability, one time indirect costs in connection with our IPO, and severance costs.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“Adjusted EBITDA Margin” </w:t>
      </w:r>
      <w:r>
        <w:rPr>
          <w:rFonts w:ascii="Arial" w:cs="Arial" w:eastAsia="Arial" w:hAnsi="Arial"/>
          <w:sz w:val="16"/>
          <w:szCs w:val="16"/>
          <w:color w:val="auto"/>
        </w:rPr>
        <w:t>refers to Adjusted EBITDA divided by net revenues.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“Approved Submissions” </w:t>
      </w:r>
      <w:r>
        <w:rPr>
          <w:rFonts w:ascii="Arial" w:cs="Arial" w:eastAsia="Arial" w:hAnsi="Arial"/>
          <w:sz w:val="16"/>
          <w:szCs w:val="16"/>
          <w:color w:val="auto"/>
        </w:rPr>
        <w:t>refer to Submitted Policies approved by carriers for the identified product during the indicated period.</w:t>
      </w:r>
    </w:p>
    <w:p>
      <w:pPr>
        <w:spacing w:after="0" w:line="113"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i w:val="1"/>
          <w:iCs w:val="1"/>
          <w:color w:val="auto"/>
        </w:rPr>
        <w:t xml:space="preserve">“LTV Per Approved Submission” </w:t>
      </w:r>
      <w:r>
        <w:rPr>
          <w:rFonts w:ascii="Arial" w:cs="Arial" w:eastAsia="Arial" w:hAnsi="Arial"/>
          <w:sz w:val="16"/>
          <w:szCs w:val="16"/>
          <w:color w:val="auto"/>
        </w:rPr>
        <w:t>refers to the Lifetime Value of Commissions per Approved Submission, which we define as (i) aggregate commissions</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to be collected over the estimated life of all commissionable Approved Submissions for the relevant period based on multiple factors, including but not limited to, contracted commission rates, carrier mix and expected policy persistency with applied constraints, excluding revenue adjustments recorded in the period, but relating to performance obligations satisfied in prior periods, divided by (ii) the number of commissionable Approved Submissions for such period.</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“Submitted Policies” </w:t>
      </w:r>
      <w:r>
        <w:rPr>
          <w:rFonts w:ascii="Arial" w:cs="Arial" w:eastAsia="Arial" w:hAnsi="Arial"/>
          <w:sz w:val="16"/>
          <w:szCs w:val="16"/>
          <w:color w:val="auto"/>
        </w:rPr>
        <w:t>refer to completed applications that, with respect to each such application, the consumer has authorized us to submit to the carrier.</w:t>
      </w: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897"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The following tables set forth the components of our results of operations for the periods indicated (unaudited):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520" w:type="dxa"/>
            <w:vAlign w:val="bottom"/>
          </w:tcPr>
          <w:p>
            <w:pPr>
              <w:spacing w:after="0"/>
              <w:rPr>
                <w:sz w:val="15"/>
                <w:szCs w:val="15"/>
                <w:color w:val="auto"/>
              </w:rPr>
            </w:pPr>
          </w:p>
        </w:tc>
        <w:tc>
          <w:tcPr>
            <w:tcW w:w="2220" w:type="dxa"/>
            <w:vAlign w:val="bottom"/>
            <w:tcBorders>
              <w:bottom w:val="single" w:sz="8" w:color="auto"/>
            </w:tcBorders>
            <w:gridSpan w:val="4"/>
          </w:tcPr>
          <w:p>
            <w:pPr>
              <w:jc w:val="right"/>
              <w:ind w:right="17"/>
              <w:spacing w:after="0"/>
              <w:rPr>
                <w:sz w:val="20"/>
                <w:szCs w:val="20"/>
                <w:color w:val="auto"/>
              </w:rPr>
            </w:pPr>
            <w:r>
              <w:rPr>
                <w:rFonts w:ascii="Arial" w:cs="Arial" w:eastAsia="Arial" w:hAnsi="Arial"/>
                <w:sz w:val="13"/>
                <w:szCs w:val="13"/>
                <w:b w:val="1"/>
                <w:bCs w:val="1"/>
                <w:color w:val="auto"/>
                <w:w w:val="99"/>
              </w:rPr>
              <w:t>Three months ended Dec. 31, 2021</w:t>
            </w:r>
          </w:p>
        </w:tc>
        <w:tc>
          <w:tcPr>
            <w:tcW w:w="100" w:type="dxa"/>
            <w:vAlign w:val="bottom"/>
          </w:tcPr>
          <w:p>
            <w:pPr>
              <w:spacing w:after="0"/>
              <w:rPr>
                <w:sz w:val="15"/>
                <w:szCs w:val="15"/>
                <w:color w:val="auto"/>
              </w:rPr>
            </w:pPr>
          </w:p>
        </w:tc>
        <w:tc>
          <w:tcPr>
            <w:tcW w:w="2220" w:type="dxa"/>
            <w:vAlign w:val="bottom"/>
            <w:tcBorders>
              <w:bottom w:val="single" w:sz="8" w:color="auto"/>
            </w:tcBorders>
            <w:gridSpan w:val="4"/>
          </w:tcPr>
          <w:p>
            <w:pPr>
              <w:jc w:val="right"/>
              <w:ind w:right="17"/>
              <w:spacing w:after="0"/>
              <w:rPr>
                <w:sz w:val="20"/>
                <w:szCs w:val="20"/>
                <w:color w:val="auto"/>
              </w:rPr>
            </w:pPr>
            <w:r>
              <w:rPr>
                <w:rFonts w:ascii="Arial" w:cs="Arial" w:eastAsia="Arial" w:hAnsi="Arial"/>
                <w:sz w:val="13"/>
                <w:szCs w:val="13"/>
                <w:b w:val="1"/>
                <w:bCs w:val="1"/>
                <w:color w:val="auto"/>
                <w:w w:val="99"/>
              </w:rPr>
              <w:t>Three months ended Dec. 31, 2020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520" w:type="dxa"/>
            <w:vAlign w:val="bottom"/>
            <w:vMerge w:val="restart"/>
          </w:tcPr>
          <w:p>
            <w:pPr>
              <w:ind w:left="20"/>
              <w:spacing w:after="0"/>
              <w:rPr>
                <w:sz w:val="20"/>
                <w:szCs w:val="20"/>
                <w:color w:val="auto"/>
              </w:rPr>
            </w:pPr>
            <w:r>
              <w:rPr>
                <w:rFonts w:ascii="Arial" w:cs="Arial" w:eastAsia="Arial" w:hAnsi="Arial"/>
                <w:sz w:val="13"/>
                <w:szCs w:val="13"/>
                <w:color w:val="auto"/>
              </w:rPr>
              <w:t>(in thousands, except percentages and per share amounts)</w:t>
            </w:r>
          </w:p>
        </w:tc>
        <w:tc>
          <w:tcPr>
            <w:tcW w:w="200" w:type="dxa"/>
            <w:vAlign w:val="bottom"/>
          </w:tcPr>
          <w:p>
            <w:pPr>
              <w:spacing w:after="0"/>
              <w:rPr>
                <w:sz w:val="11"/>
                <w:szCs w:val="11"/>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Dollars</w:t>
            </w:r>
          </w:p>
        </w:tc>
        <w:tc>
          <w:tcPr>
            <w:tcW w:w="11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 of Net</w:t>
            </w:r>
          </w:p>
        </w:tc>
        <w:tc>
          <w:tcPr>
            <w:tcW w:w="200" w:type="dxa"/>
            <w:vAlign w:val="bottom"/>
          </w:tcPr>
          <w:p>
            <w:pPr>
              <w:spacing w:after="0"/>
              <w:rPr>
                <w:sz w:val="11"/>
                <w:szCs w:val="11"/>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Dollars</w:t>
            </w:r>
          </w:p>
        </w:tc>
        <w:tc>
          <w:tcPr>
            <w:tcW w:w="11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9"/>
              </w:rPr>
              <w:t>% of Net</w:t>
            </w:r>
          </w:p>
        </w:tc>
        <w:tc>
          <w:tcPr>
            <w:tcW w:w="140" w:type="dxa"/>
            <w:vAlign w:val="bottom"/>
          </w:tcPr>
          <w:p>
            <w:pPr>
              <w:spacing w:after="0"/>
              <w:rPr>
                <w:sz w:val="11"/>
                <w:szCs w:val="11"/>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 Change</w:t>
            </w:r>
          </w:p>
        </w:tc>
        <w:tc>
          <w:tcPr>
            <w:tcW w:w="104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72"/>
        </w:trPr>
        <w:tc>
          <w:tcPr>
            <w:tcW w:w="45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Revenues</w:t>
            </w: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Revenues</w:t>
            </w: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52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i w:val="1"/>
                <w:iCs w:val="1"/>
                <w:color w:val="auto"/>
              </w:rPr>
              <w:t>Net revenues:</w:t>
            </w:r>
          </w:p>
        </w:tc>
        <w:tc>
          <w:tcPr>
            <w:tcW w:w="2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520" w:type="dxa"/>
            <w:vAlign w:val="bottom"/>
          </w:tcPr>
          <w:p>
            <w:pPr>
              <w:ind w:left="240"/>
              <w:spacing w:after="0"/>
              <w:rPr>
                <w:sz w:val="20"/>
                <w:szCs w:val="20"/>
                <w:color w:val="auto"/>
              </w:rPr>
            </w:pPr>
            <w:r>
              <w:rPr>
                <w:rFonts w:ascii="Arial" w:cs="Arial" w:eastAsia="Arial" w:hAnsi="Arial"/>
                <w:sz w:val="13"/>
                <w:szCs w:val="13"/>
                <w:color w:val="auto"/>
              </w:rPr>
              <w:t>Commission</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384,826</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85.6 %</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360,634</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80.9 %</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24,192</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6.7 %</w:t>
            </w:r>
          </w:p>
        </w:tc>
        <w:tc>
          <w:tcPr>
            <w:tcW w:w="0" w:type="dxa"/>
            <w:vAlign w:val="bottom"/>
          </w:tcPr>
          <w:p>
            <w:pPr>
              <w:spacing w:after="0"/>
              <w:rPr>
                <w:sz w:val="1"/>
                <w:szCs w:val="1"/>
                <w:color w:val="auto"/>
              </w:rPr>
            </w:pPr>
          </w:p>
        </w:tc>
      </w:tr>
      <w:tr>
        <w:trPr>
          <w:trHeight w:val="183"/>
        </w:trPr>
        <w:tc>
          <w:tcPr>
            <w:tcW w:w="45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Enterprise</w:t>
            </w: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64,774</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14.4 %</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85,289</w:t>
            </w:r>
          </w:p>
        </w:tc>
        <w:tc>
          <w:tcPr>
            <w:tcW w:w="8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19.1 %</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(20,515)</w:t>
            </w:r>
          </w:p>
        </w:tc>
        <w:tc>
          <w:tcPr>
            <w:tcW w:w="10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(24.1)%</w:t>
            </w:r>
          </w:p>
        </w:tc>
        <w:tc>
          <w:tcPr>
            <w:tcW w:w="0" w:type="dxa"/>
            <w:vAlign w:val="bottom"/>
          </w:tcPr>
          <w:p>
            <w:pPr>
              <w:spacing w:after="0"/>
              <w:rPr>
                <w:sz w:val="1"/>
                <w:szCs w:val="1"/>
                <w:color w:val="auto"/>
              </w:rPr>
            </w:pPr>
          </w:p>
        </w:tc>
      </w:tr>
      <w:tr>
        <w:trPr>
          <w:trHeight w:val="163"/>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revenues</w:t>
            </w: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449,600</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445,923</w:t>
            </w:r>
          </w:p>
        </w:tc>
        <w:tc>
          <w:tcPr>
            <w:tcW w:w="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3,677</w:t>
            </w: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0.8 %</w:t>
            </w:r>
          </w:p>
        </w:tc>
        <w:tc>
          <w:tcPr>
            <w:tcW w:w="0" w:type="dxa"/>
            <w:vAlign w:val="bottom"/>
          </w:tcPr>
          <w:p>
            <w:pPr>
              <w:spacing w:after="0"/>
              <w:rPr>
                <w:sz w:val="1"/>
                <w:szCs w:val="1"/>
                <w:color w:val="auto"/>
              </w:rPr>
            </w:pPr>
          </w:p>
        </w:tc>
      </w:tr>
      <w:tr>
        <w:trPr>
          <w:trHeight w:val="162"/>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Operating expenses:</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20" w:type="dxa"/>
            <w:vAlign w:val="bottom"/>
          </w:tcPr>
          <w:p>
            <w:pPr>
              <w:ind w:left="240"/>
              <w:spacing w:after="0"/>
              <w:rPr>
                <w:sz w:val="20"/>
                <w:szCs w:val="20"/>
                <w:color w:val="auto"/>
              </w:rPr>
            </w:pPr>
            <w:r>
              <w:rPr>
                <w:rFonts w:ascii="Arial" w:cs="Arial" w:eastAsia="Arial" w:hAnsi="Arial"/>
                <w:sz w:val="13"/>
                <w:szCs w:val="13"/>
                <w:color w:val="auto"/>
              </w:rPr>
              <w:t>Cost of revenue</w:t>
            </w:r>
          </w:p>
        </w:tc>
        <w:tc>
          <w:tcPr>
            <w:tcW w:w="20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99,886</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22.2 %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94,682</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21.2 %</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5,204</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5.5 %</w:t>
            </w:r>
          </w:p>
        </w:tc>
        <w:tc>
          <w:tcPr>
            <w:tcW w:w="0" w:type="dxa"/>
            <w:vAlign w:val="bottom"/>
          </w:tcPr>
          <w:p>
            <w:pPr>
              <w:spacing w:after="0"/>
              <w:rPr>
                <w:sz w:val="1"/>
                <w:szCs w:val="1"/>
                <w:color w:val="auto"/>
              </w:rPr>
            </w:pPr>
          </w:p>
        </w:tc>
      </w:tr>
      <w:tr>
        <w:trPr>
          <w:trHeight w:val="183"/>
        </w:trPr>
        <w:tc>
          <w:tcPr>
            <w:tcW w:w="45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Marketing and advertising</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195,411</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96,309</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21.6 %</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99,102</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102.9 %</w:t>
            </w:r>
          </w:p>
        </w:tc>
        <w:tc>
          <w:tcPr>
            <w:tcW w:w="0" w:type="dxa"/>
            <w:vAlign w:val="bottom"/>
          </w:tcPr>
          <w:p>
            <w:pPr>
              <w:spacing w:after="0"/>
              <w:rPr>
                <w:sz w:val="1"/>
                <w:szCs w:val="1"/>
                <w:color w:val="auto"/>
              </w:rPr>
            </w:pPr>
          </w:p>
        </w:tc>
      </w:tr>
      <w:tr>
        <w:trPr>
          <w:trHeight w:val="167"/>
        </w:trPr>
        <w:tc>
          <w:tcPr>
            <w:tcW w:w="4520" w:type="dxa"/>
            <w:vAlign w:val="bottom"/>
          </w:tcPr>
          <w:p>
            <w:pPr>
              <w:ind w:left="240"/>
              <w:spacing w:after="0"/>
              <w:rPr>
                <w:sz w:val="20"/>
                <w:szCs w:val="20"/>
                <w:color w:val="auto"/>
              </w:rPr>
            </w:pPr>
            <w:r>
              <w:rPr>
                <w:rFonts w:ascii="Arial" w:cs="Arial" w:eastAsia="Arial" w:hAnsi="Arial"/>
                <w:sz w:val="13"/>
                <w:szCs w:val="13"/>
                <w:color w:val="auto"/>
              </w:rPr>
              <w:t>Customer care and enrollment</w:t>
            </w:r>
          </w:p>
        </w:tc>
        <w:tc>
          <w:tcPr>
            <w:tcW w:w="20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123,331</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27.4 %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60,229</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13.5 %</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63,102</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104.8 %</w:t>
            </w:r>
          </w:p>
        </w:tc>
        <w:tc>
          <w:tcPr>
            <w:tcW w:w="0" w:type="dxa"/>
            <w:vAlign w:val="bottom"/>
          </w:tcPr>
          <w:p>
            <w:pPr>
              <w:spacing w:after="0"/>
              <w:rPr>
                <w:sz w:val="1"/>
                <w:szCs w:val="1"/>
                <w:color w:val="auto"/>
              </w:rPr>
            </w:pPr>
          </w:p>
        </w:tc>
      </w:tr>
      <w:tr>
        <w:trPr>
          <w:trHeight w:val="184"/>
        </w:trPr>
        <w:tc>
          <w:tcPr>
            <w:tcW w:w="45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Technology</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15,178</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9,530</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2.1 %</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5,648</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59.3 %</w:t>
            </w:r>
          </w:p>
        </w:tc>
        <w:tc>
          <w:tcPr>
            <w:tcW w:w="0" w:type="dxa"/>
            <w:vAlign w:val="bottom"/>
          </w:tcPr>
          <w:p>
            <w:pPr>
              <w:spacing w:after="0"/>
              <w:rPr>
                <w:sz w:val="1"/>
                <w:szCs w:val="1"/>
                <w:color w:val="auto"/>
              </w:rPr>
            </w:pPr>
          </w:p>
        </w:tc>
      </w:tr>
      <w:tr>
        <w:trPr>
          <w:trHeight w:val="168"/>
        </w:trPr>
        <w:tc>
          <w:tcPr>
            <w:tcW w:w="4520" w:type="dxa"/>
            <w:vAlign w:val="bottom"/>
          </w:tcPr>
          <w:p>
            <w:pPr>
              <w:ind w:left="240"/>
              <w:spacing w:after="0"/>
              <w:rPr>
                <w:sz w:val="20"/>
                <w:szCs w:val="20"/>
                <w:color w:val="auto"/>
              </w:rPr>
            </w:pPr>
            <w:r>
              <w:rPr>
                <w:rFonts w:ascii="Arial" w:cs="Arial" w:eastAsia="Arial" w:hAnsi="Arial"/>
                <w:sz w:val="13"/>
                <w:szCs w:val="13"/>
                <w:color w:val="auto"/>
              </w:rPr>
              <w:t>General and administrative</w:t>
            </w:r>
          </w:p>
        </w:tc>
        <w:tc>
          <w:tcPr>
            <w:tcW w:w="20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29,007</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6.5 %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19,828</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4.4 %</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9,179</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46.3 %</w:t>
            </w:r>
          </w:p>
        </w:tc>
        <w:tc>
          <w:tcPr>
            <w:tcW w:w="0" w:type="dxa"/>
            <w:vAlign w:val="bottom"/>
          </w:tcPr>
          <w:p>
            <w:pPr>
              <w:spacing w:after="0"/>
              <w:rPr>
                <w:sz w:val="1"/>
                <w:szCs w:val="1"/>
                <w:color w:val="auto"/>
              </w:rPr>
            </w:pPr>
          </w:p>
        </w:tc>
      </w:tr>
      <w:tr>
        <w:trPr>
          <w:trHeight w:val="183"/>
        </w:trPr>
        <w:tc>
          <w:tcPr>
            <w:tcW w:w="45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Amortization of intangible assets</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23,513</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23,514</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5.3 %</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69"/>
        </w:trPr>
        <w:tc>
          <w:tcPr>
            <w:tcW w:w="4520" w:type="dxa"/>
            <w:vAlign w:val="bottom"/>
          </w:tcPr>
          <w:p>
            <w:pPr>
              <w:ind w:left="240"/>
              <w:spacing w:after="0"/>
              <w:rPr>
                <w:sz w:val="20"/>
                <w:szCs w:val="20"/>
                <w:color w:val="auto"/>
              </w:rPr>
            </w:pPr>
            <w:r>
              <w:rPr>
                <w:rFonts w:ascii="Arial" w:cs="Arial" w:eastAsia="Arial" w:hAnsi="Arial"/>
                <w:sz w:val="13"/>
                <w:szCs w:val="13"/>
                <w:color w:val="auto"/>
              </w:rPr>
              <w:t>Goodwill impairment charges</w:t>
            </w:r>
          </w:p>
        </w:tc>
        <w:tc>
          <w:tcPr>
            <w:tcW w:w="20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386,553</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86.0 %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 %</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386,553</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75"/>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872,879</w:t>
            </w: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194.1 %</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304,092</w:t>
            </w:r>
          </w:p>
        </w:tc>
        <w:tc>
          <w:tcPr>
            <w:tcW w:w="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68.2 %</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568,787</w:t>
            </w:r>
          </w:p>
        </w:tc>
        <w:tc>
          <w:tcPr>
            <w:tcW w:w="1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187.0 %</w:t>
            </w:r>
          </w:p>
        </w:tc>
        <w:tc>
          <w:tcPr>
            <w:tcW w:w="0" w:type="dxa"/>
            <w:vAlign w:val="bottom"/>
          </w:tcPr>
          <w:p>
            <w:pPr>
              <w:spacing w:after="0"/>
              <w:rPr>
                <w:sz w:val="1"/>
                <w:szCs w:val="1"/>
                <w:color w:val="auto"/>
              </w:rPr>
            </w:pPr>
          </w:p>
        </w:tc>
      </w:tr>
      <w:tr>
        <w:trPr>
          <w:trHeight w:val="161"/>
        </w:trPr>
        <w:tc>
          <w:tcPr>
            <w:tcW w:w="4520" w:type="dxa"/>
            <w:vAlign w:val="bottom"/>
          </w:tcPr>
          <w:p>
            <w:pPr>
              <w:ind w:left="20"/>
              <w:spacing w:after="0"/>
              <w:rPr>
                <w:sz w:val="20"/>
                <w:szCs w:val="20"/>
                <w:color w:val="auto"/>
              </w:rPr>
            </w:pPr>
            <w:r>
              <w:rPr>
                <w:rFonts w:ascii="Arial" w:cs="Arial" w:eastAsia="Arial" w:hAnsi="Arial"/>
                <w:sz w:val="13"/>
                <w:szCs w:val="13"/>
                <w:color w:val="auto"/>
              </w:rPr>
              <w:t>Income (loss) from operations</w:t>
            </w:r>
          </w:p>
        </w:tc>
        <w:tc>
          <w:tcPr>
            <w:tcW w:w="20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(423,279)</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(94.1)%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141,831</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31.8 %</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(565,110)</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(398.4)%</w:t>
            </w:r>
          </w:p>
        </w:tc>
        <w:tc>
          <w:tcPr>
            <w:tcW w:w="0" w:type="dxa"/>
            <w:vAlign w:val="bottom"/>
          </w:tcPr>
          <w:p>
            <w:pPr>
              <w:spacing w:after="0"/>
              <w:rPr>
                <w:sz w:val="1"/>
                <w:szCs w:val="1"/>
                <w:color w:val="auto"/>
              </w:rPr>
            </w:pPr>
          </w:p>
        </w:tc>
      </w:tr>
      <w:tr>
        <w:trPr>
          <w:trHeight w:val="184"/>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expense</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9,619</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8,591</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1.9 %</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1,028</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12.0 %</w:t>
            </w:r>
          </w:p>
        </w:tc>
        <w:tc>
          <w:tcPr>
            <w:tcW w:w="0" w:type="dxa"/>
            <w:vAlign w:val="bottom"/>
          </w:tcPr>
          <w:p>
            <w:pPr>
              <w:spacing w:after="0"/>
              <w:rPr>
                <w:sz w:val="1"/>
                <w:szCs w:val="1"/>
                <w:color w:val="auto"/>
              </w:rPr>
            </w:pPr>
          </w:p>
        </w:tc>
      </w:tr>
      <w:tr>
        <w:trPr>
          <w:trHeight w:val="169"/>
        </w:trPr>
        <w:tc>
          <w:tcPr>
            <w:tcW w:w="4520" w:type="dxa"/>
            <w:vAlign w:val="bottom"/>
          </w:tcPr>
          <w:p>
            <w:pPr>
              <w:ind w:left="20"/>
              <w:spacing w:after="0"/>
              <w:rPr>
                <w:sz w:val="20"/>
                <w:szCs w:val="20"/>
                <w:color w:val="auto"/>
              </w:rPr>
            </w:pPr>
            <w:r>
              <w:rPr>
                <w:rFonts w:ascii="Arial" w:cs="Arial" w:eastAsia="Arial" w:hAnsi="Arial"/>
                <w:sz w:val="13"/>
                <w:szCs w:val="13"/>
                <w:color w:val="auto"/>
              </w:rPr>
              <w:t>Other expense (income), net</w:t>
            </w:r>
          </w:p>
        </w:tc>
        <w:tc>
          <w:tcPr>
            <w:tcW w:w="20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(696)</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135</w:t>
            </w:r>
          </w:p>
        </w:tc>
        <w:tc>
          <w:tcPr>
            <w:tcW w:w="8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 %</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(831)</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75"/>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Income (loss) before income taxes</w:t>
            </w: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(432,202)</w:t>
            </w: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(96.1)%</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133,105</w:t>
            </w:r>
          </w:p>
        </w:tc>
        <w:tc>
          <w:tcPr>
            <w:tcW w:w="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29.8 %</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(565,307)</w:t>
            </w:r>
          </w:p>
        </w:tc>
        <w:tc>
          <w:tcPr>
            <w:tcW w:w="1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(424.7)%</w:t>
            </w:r>
          </w:p>
        </w:tc>
        <w:tc>
          <w:tcPr>
            <w:tcW w:w="0" w:type="dxa"/>
            <w:vAlign w:val="bottom"/>
          </w:tcPr>
          <w:p>
            <w:pPr>
              <w:spacing w:after="0"/>
              <w:rPr>
                <w:sz w:val="1"/>
                <w:szCs w:val="1"/>
                <w:color w:val="auto"/>
              </w:rPr>
            </w:pPr>
          </w:p>
        </w:tc>
      </w:tr>
      <w:tr>
        <w:trPr>
          <w:trHeight w:val="163"/>
        </w:trPr>
        <w:tc>
          <w:tcPr>
            <w:tcW w:w="4520" w:type="dxa"/>
            <w:vAlign w:val="bottom"/>
          </w:tcPr>
          <w:p>
            <w:pPr>
              <w:ind w:left="20"/>
              <w:spacing w:after="0"/>
              <w:rPr>
                <w:sz w:val="20"/>
                <w:szCs w:val="20"/>
                <w:color w:val="auto"/>
              </w:rPr>
            </w:pPr>
            <w:r>
              <w:rPr>
                <w:rFonts w:ascii="Arial" w:cs="Arial" w:eastAsia="Arial" w:hAnsi="Arial"/>
                <w:sz w:val="13"/>
                <w:szCs w:val="13"/>
                <w:color w:val="auto"/>
              </w:rPr>
              <w:t>Income tax expense (benefit)</w:t>
            </w:r>
          </w:p>
        </w:tc>
        <w:tc>
          <w:tcPr>
            <w:tcW w:w="20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118</w:t>
            </w:r>
          </w:p>
        </w:tc>
        <w:tc>
          <w:tcPr>
            <w:tcW w:w="10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200" w:type="dxa"/>
            <w:vAlign w:val="bottom"/>
          </w:tcPr>
          <w:p>
            <w:pPr>
              <w:spacing w:after="0"/>
              <w:rPr>
                <w:sz w:val="14"/>
                <w:szCs w:val="14"/>
                <w:color w:val="auto"/>
              </w:rPr>
            </w:pP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 %</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113</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76"/>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(432,320)</w:t>
            </w: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(96.2)%</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133,100</w:t>
            </w:r>
          </w:p>
        </w:tc>
        <w:tc>
          <w:tcPr>
            <w:tcW w:w="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29.8 %</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(565,420)</w:t>
            </w:r>
          </w:p>
        </w:tc>
        <w:tc>
          <w:tcPr>
            <w:tcW w:w="1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(424.8)%</w:t>
            </w:r>
          </w:p>
        </w:tc>
        <w:tc>
          <w:tcPr>
            <w:tcW w:w="0" w:type="dxa"/>
            <w:vAlign w:val="bottom"/>
          </w:tcPr>
          <w:p>
            <w:pPr>
              <w:spacing w:after="0"/>
              <w:rPr>
                <w:sz w:val="1"/>
                <w:szCs w:val="1"/>
                <w:color w:val="auto"/>
              </w:rPr>
            </w:pPr>
          </w:p>
        </w:tc>
      </w:tr>
      <w:tr>
        <w:trPr>
          <w:trHeight w:val="163"/>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income (loss) attributable to noncontrolling interests</w:t>
            </w: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(277,225)</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(61.7)%</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97,143</w:t>
            </w:r>
          </w:p>
        </w:tc>
        <w:tc>
          <w:tcPr>
            <w:tcW w:w="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21.8 %</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(374,368)</w:t>
            </w: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(385.4)%</w:t>
            </w:r>
          </w:p>
        </w:tc>
        <w:tc>
          <w:tcPr>
            <w:tcW w:w="0" w:type="dxa"/>
            <w:vAlign w:val="bottom"/>
          </w:tcPr>
          <w:p>
            <w:pPr>
              <w:spacing w:after="0"/>
              <w:rPr>
                <w:sz w:val="1"/>
                <w:szCs w:val="1"/>
                <w:color w:val="auto"/>
              </w:rPr>
            </w:pPr>
          </w:p>
        </w:tc>
      </w:tr>
      <w:tr>
        <w:trPr>
          <w:trHeight w:val="20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(loss) attributable to GoHealth, Inc.</w:t>
            </w: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(155,095)</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(34.5)%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b w:val="1"/>
                <w:bCs w:val="1"/>
                <w:color w:val="auto"/>
              </w:rPr>
              <w:t>35,957</w:t>
            </w: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8.1 %</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(191,052)</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(531.3)%</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i w:val="1"/>
                <w:iCs w:val="1"/>
                <w:color w:val="auto"/>
              </w:rPr>
              <w:t>Net income (loss) per share: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5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 per share of common stock — basic</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(1.35)</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0.43</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520" w:type="dxa"/>
            <w:vAlign w:val="bottom"/>
          </w:tcPr>
          <w:p>
            <w:pPr>
              <w:ind w:left="20"/>
              <w:spacing w:after="0"/>
              <w:rPr>
                <w:sz w:val="20"/>
                <w:szCs w:val="20"/>
                <w:color w:val="auto"/>
              </w:rPr>
            </w:pPr>
            <w:r>
              <w:rPr>
                <w:rFonts w:ascii="Arial" w:cs="Arial" w:eastAsia="Arial" w:hAnsi="Arial"/>
                <w:sz w:val="13"/>
                <w:szCs w:val="13"/>
                <w:color w:val="auto"/>
              </w:rPr>
              <w:t>Net income (loss) per share of common stock — diluted (1)</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(1.35)</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0.41</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Weighted-average shares of common stock outstanding — basic</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115,045</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84,194</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520" w:type="dxa"/>
            <w:vAlign w:val="bottom"/>
          </w:tcPr>
          <w:p>
            <w:pPr>
              <w:ind w:left="20"/>
              <w:spacing w:after="0"/>
              <w:rPr>
                <w:sz w:val="20"/>
                <w:szCs w:val="20"/>
                <w:color w:val="auto"/>
              </w:rPr>
            </w:pPr>
            <w:r>
              <w:rPr>
                <w:rFonts w:ascii="Arial" w:cs="Arial" w:eastAsia="Arial" w:hAnsi="Arial"/>
                <w:sz w:val="13"/>
                <w:szCs w:val="13"/>
                <w:color w:val="auto"/>
              </w:rPr>
              <w:t>Weighted-average shares of common stock outstanding — diluted</w:t>
            </w:r>
          </w:p>
        </w:tc>
        <w:tc>
          <w:tcPr>
            <w:tcW w:w="20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115,045</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321,191</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Non-GAAP financial measures:</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520" w:type="dxa"/>
            <w:vAlign w:val="bottom"/>
          </w:tcPr>
          <w:p>
            <w:pPr>
              <w:ind w:left="240"/>
              <w:spacing w:after="0"/>
              <w:rPr>
                <w:sz w:val="20"/>
                <w:szCs w:val="20"/>
                <w:color w:val="auto"/>
              </w:rPr>
            </w:pPr>
            <w:r>
              <w:rPr>
                <w:rFonts w:ascii="Arial" w:cs="Arial" w:eastAsia="Arial" w:hAnsi="Arial"/>
                <w:sz w:val="13"/>
                <w:szCs w:val="13"/>
                <w:color w:val="auto"/>
              </w:rPr>
              <w:t>EBITDA</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(392,251)</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166,806</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5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Adjusted EBITDA</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1,499</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169,889</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4520" w:type="dxa"/>
            <w:vAlign w:val="bottom"/>
          </w:tcPr>
          <w:p>
            <w:pPr>
              <w:ind w:left="240"/>
              <w:spacing w:after="0"/>
              <w:rPr>
                <w:sz w:val="20"/>
                <w:szCs w:val="20"/>
                <w:color w:val="auto"/>
              </w:rPr>
            </w:pPr>
            <w:r>
              <w:rPr>
                <w:rFonts w:ascii="Arial" w:cs="Arial" w:eastAsia="Arial" w:hAnsi="Arial"/>
                <w:sz w:val="13"/>
                <w:szCs w:val="13"/>
                <w:color w:val="auto"/>
              </w:rPr>
              <w:t>Adjusted EBITDA margin</w:t>
            </w: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0.3 %</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38.1 %</w:t>
            </w: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rPr>
          <w:sz w:val="20"/>
          <w:szCs w:val="20"/>
          <w:color w:val="auto"/>
        </w:rPr>
      </w:pPr>
      <w:r>
        <w:rPr>
          <w:rFonts w:ascii="Arial" w:cs="Arial" w:eastAsia="Arial" w:hAnsi="Arial"/>
          <w:sz w:val="13"/>
          <w:szCs w:val="13"/>
          <w:i w:val="1"/>
          <w:iCs w:val="1"/>
          <w:color w:val="auto"/>
        </w:rPr>
        <w:t>NM = Not meaningful</w:t>
      </w:r>
    </w:p>
    <w:p>
      <w:pPr>
        <w:ind w:left="340" w:right="40" w:hanging="332"/>
        <w:spacing w:after="0" w:line="259" w:lineRule="auto"/>
        <w:tabs>
          <w:tab w:leader="none" w:pos="332" w:val="left"/>
        </w:tabs>
        <w:numPr>
          <w:ilvl w:val="0"/>
          <w:numId w:val="7"/>
        </w:numPr>
        <w:rPr>
          <w:rFonts w:ascii="Arial" w:cs="Arial" w:eastAsia="Arial" w:hAnsi="Arial"/>
          <w:sz w:val="12"/>
          <w:szCs w:val="12"/>
          <w:i w:val="1"/>
          <w:iCs w:val="1"/>
          <w:color w:val="auto"/>
        </w:rPr>
      </w:pPr>
      <w:r>
        <w:rPr>
          <w:rFonts w:ascii="Arial" w:cs="Arial" w:eastAsia="Arial" w:hAnsi="Arial"/>
          <w:sz w:val="12"/>
          <w:szCs w:val="12"/>
          <w:i w:val="1"/>
          <w:iCs w:val="1"/>
          <w:color w:val="auto"/>
        </w:rPr>
        <w:t>Net income per share of common stock - diluted for the three months ending December 31, 2020, of $0.41 is calculated by dividing net income of $133.1 million, which considers the reallocation of earnings after the assumed conversion of Class B Common Stock for Class A Common Stock, by the weighted-average shares of common stock outstanding - diluted of 321,191.</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789"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7"/>
        </w:trPr>
        <w:tc>
          <w:tcPr>
            <w:tcW w:w="4520" w:type="dxa"/>
            <w:vAlign w:val="bottom"/>
          </w:tcPr>
          <w:p>
            <w:pPr>
              <w:spacing w:after="0"/>
              <w:rPr>
                <w:sz w:val="15"/>
                <w:szCs w:val="15"/>
                <w:color w:val="auto"/>
              </w:rPr>
            </w:pPr>
          </w:p>
        </w:tc>
        <w:tc>
          <w:tcPr>
            <w:tcW w:w="22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97"/>
              </w:rPr>
              <w:t>Twelve months ended Dec. 31, 2021</w:t>
            </w:r>
          </w:p>
        </w:tc>
        <w:tc>
          <w:tcPr>
            <w:tcW w:w="100" w:type="dxa"/>
            <w:vAlign w:val="bottom"/>
          </w:tcPr>
          <w:p>
            <w:pPr>
              <w:spacing w:after="0"/>
              <w:rPr>
                <w:sz w:val="15"/>
                <w:szCs w:val="15"/>
                <w:color w:val="auto"/>
              </w:rPr>
            </w:pPr>
          </w:p>
        </w:tc>
        <w:tc>
          <w:tcPr>
            <w:tcW w:w="22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97"/>
              </w:rPr>
              <w:t>Twelve months ended Dec. 31, 2020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520" w:type="dxa"/>
            <w:vAlign w:val="bottom"/>
            <w:vMerge w:val="restart"/>
          </w:tcPr>
          <w:p>
            <w:pPr>
              <w:ind w:left="20"/>
              <w:spacing w:after="0"/>
              <w:rPr>
                <w:sz w:val="20"/>
                <w:szCs w:val="20"/>
                <w:color w:val="auto"/>
              </w:rPr>
            </w:pPr>
            <w:r>
              <w:rPr>
                <w:rFonts w:ascii="Arial" w:cs="Arial" w:eastAsia="Arial" w:hAnsi="Arial"/>
                <w:sz w:val="13"/>
                <w:szCs w:val="13"/>
                <w:color w:val="auto"/>
              </w:rPr>
              <w:t>(in thousands, except percentages and per share amounts)</w:t>
            </w:r>
          </w:p>
        </w:tc>
        <w:tc>
          <w:tcPr>
            <w:tcW w:w="200" w:type="dxa"/>
            <w:vAlign w:val="bottom"/>
          </w:tcPr>
          <w:p>
            <w:pPr>
              <w:spacing w:after="0"/>
              <w:rPr>
                <w:sz w:val="11"/>
                <w:szCs w:val="11"/>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Dollars</w:t>
            </w:r>
          </w:p>
        </w:tc>
        <w:tc>
          <w:tcPr>
            <w:tcW w:w="11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 of Net</w:t>
            </w:r>
          </w:p>
        </w:tc>
        <w:tc>
          <w:tcPr>
            <w:tcW w:w="200" w:type="dxa"/>
            <w:vAlign w:val="bottom"/>
          </w:tcPr>
          <w:p>
            <w:pPr>
              <w:spacing w:after="0"/>
              <w:rPr>
                <w:sz w:val="11"/>
                <w:szCs w:val="11"/>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Dollars</w:t>
            </w:r>
          </w:p>
        </w:tc>
        <w:tc>
          <w:tcPr>
            <w:tcW w:w="108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auto"/>
              </w:rPr>
              <w:t>% of Net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 Change</w:t>
            </w:r>
          </w:p>
        </w:tc>
        <w:tc>
          <w:tcPr>
            <w:tcW w:w="104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72"/>
        </w:trPr>
        <w:tc>
          <w:tcPr>
            <w:tcW w:w="45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Revenues</w:t>
            </w: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80" w:type="dxa"/>
            <w:vAlign w:val="bottom"/>
          </w:tcPr>
          <w:p>
            <w:pPr>
              <w:jc w:val="right"/>
              <w:ind w:right="177"/>
              <w:spacing w:after="0"/>
              <w:rPr>
                <w:sz w:val="20"/>
                <w:szCs w:val="20"/>
                <w:color w:val="auto"/>
              </w:rPr>
            </w:pPr>
            <w:r>
              <w:rPr>
                <w:rFonts w:ascii="Arial" w:cs="Arial" w:eastAsia="Arial" w:hAnsi="Arial"/>
                <w:sz w:val="13"/>
                <w:szCs w:val="13"/>
                <w:b w:val="1"/>
                <w:bCs w:val="1"/>
                <w:color w:val="auto"/>
              </w:rPr>
              <w:t>Revenues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52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i w:val="1"/>
                <w:iCs w:val="1"/>
                <w:color w:val="auto"/>
              </w:rPr>
              <w:t>Net revenues:</w:t>
            </w:r>
          </w:p>
        </w:tc>
        <w:tc>
          <w:tcPr>
            <w:tcW w:w="2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520" w:type="dxa"/>
            <w:vAlign w:val="bottom"/>
          </w:tcPr>
          <w:p>
            <w:pPr>
              <w:ind w:left="240"/>
              <w:spacing w:after="0"/>
              <w:rPr>
                <w:sz w:val="20"/>
                <w:szCs w:val="20"/>
                <w:color w:val="auto"/>
              </w:rPr>
            </w:pPr>
            <w:r>
              <w:rPr>
                <w:rFonts w:ascii="Arial" w:cs="Arial" w:eastAsia="Arial" w:hAnsi="Arial"/>
                <w:sz w:val="13"/>
                <w:szCs w:val="13"/>
                <w:color w:val="auto"/>
              </w:rPr>
              <w:t>Commission</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881,263</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82.9 %</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671,140</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76.5 %</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210,123</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31.3 %</w:t>
            </w:r>
          </w:p>
        </w:tc>
        <w:tc>
          <w:tcPr>
            <w:tcW w:w="0" w:type="dxa"/>
            <w:vAlign w:val="bottom"/>
          </w:tcPr>
          <w:p>
            <w:pPr>
              <w:spacing w:after="0"/>
              <w:rPr>
                <w:sz w:val="1"/>
                <w:szCs w:val="1"/>
                <w:color w:val="auto"/>
              </w:rPr>
            </w:pPr>
          </w:p>
        </w:tc>
      </w:tr>
      <w:tr>
        <w:trPr>
          <w:trHeight w:val="183"/>
        </w:trPr>
        <w:tc>
          <w:tcPr>
            <w:tcW w:w="45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Enterprise</w:t>
            </w: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181,152</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17.1 %</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206,210</w:t>
            </w:r>
          </w:p>
        </w:tc>
        <w:tc>
          <w:tcPr>
            <w:tcW w:w="8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23.5 %</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(25,058)</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0" w:type="dxa"/>
            <w:vAlign w:val="bottom"/>
          </w:tcPr>
          <w:p>
            <w:pPr>
              <w:spacing w:after="0"/>
              <w:rPr>
                <w:sz w:val="1"/>
                <w:szCs w:val="1"/>
                <w:color w:val="auto"/>
              </w:rPr>
            </w:pPr>
          </w:p>
        </w:tc>
      </w:tr>
      <w:tr>
        <w:trPr>
          <w:trHeight w:val="163"/>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revenues</w:t>
            </w: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1,062,415</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877,350</w:t>
            </w:r>
          </w:p>
        </w:tc>
        <w:tc>
          <w:tcPr>
            <w:tcW w:w="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185,065</w:t>
            </w: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21.1 %</w:t>
            </w:r>
          </w:p>
        </w:tc>
        <w:tc>
          <w:tcPr>
            <w:tcW w:w="0" w:type="dxa"/>
            <w:vAlign w:val="bottom"/>
          </w:tcPr>
          <w:p>
            <w:pPr>
              <w:spacing w:after="0"/>
              <w:rPr>
                <w:sz w:val="1"/>
                <w:szCs w:val="1"/>
                <w:color w:val="auto"/>
              </w:rPr>
            </w:pPr>
          </w:p>
        </w:tc>
      </w:tr>
      <w:tr>
        <w:trPr>
          <w:trHeight w:val="162"/>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Operating expenses:</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520" w:type="dxa"/>
            <w:vAlign w:val="bottom"/>
          </w:tcPr>
          <w:p>
            <w:pPr>
              <w:ind w:left="240"/>
              <w:spacing w:after="0"/>
              <w:rPr>
                <w:sz w:val="20"/>
                <w:szCs w:val="20"/>
                <w:color w:val="auto"/>
              </w:rPr>
            </w:pPr>
            <w:r>
              <w:rPr>
                <w:rFonts w:ascii="Arial" w:cs="Arial" w:eastAsia="Arial" w:hAnsi="Arial"/>
                <w:sz w:val="13"/>
                <w:szCs w:val="13"/>
                <w:color w:val="auto"/>
              </w:rPr>
              <w:t>Cost of revenue</w:t>
            </w:r>
          </w:p>
        </w:tc>
        <w:tc>
          <w:tcPr>
            <w:tcW w:w="20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239,335</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22.5 %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199,202</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22.7 %</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40,133</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20.1 %</w:t>
            </w:r>
          </w:p>
        </w:tc>
        <w:tc>
          <w:tcPr>
            <w:tcW w:w="0" w:type="dxa"/>
            <w:vAlign w:val="bottom"/>
          </w:tcPr>
          <w:p>
            <w:pPr>
              <w:spacing w:after="0"/>
              <w:rPr>
                <w:sz w:val="1"/>
                <w:szCs w:val="1"/>
                <w:color w:val="auto"/>
              </w:rPr>
            </w:pPr>
          </w:p>
        </w:tc>
      </w:tr>
      <w:tr>
        <w:trPr>
          <w:trHeight w:val="184"/>
        </w:trPr>
        <w:tc>
          <w:tcPr>
            <w:tcW w:w="45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Marketing and advertising</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365,141</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206,864</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23.6 %</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158,277</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76.5 %</w:t>
            </w:r>
          </w:p>
        </w:tc>
        <w:tc>
          <w:tcPr>
            <w:tcW w:w="0" w:type="dxa"/>
            <w:vAlign w:val="bottom"/>
          </w:tcPr>
          <w:p>
            <w:pPr>
              <w:spacing w:after="0"/>
              <w:rPr>
                <w:sz w:val="1"/>
                <w:szCs w:val="1"/>
                <w:color w:val="auto"/>
              </w:rPr>
            </w:pPr>
          </w:p>
        </w:tc>
      </w:tr>
      <w:tr>
        <w:trPr>
          <w:trHeight w:val="168"/>
        </w:trPr>
        <w:tc>
          <w:tcPr>
            <w:tcW w:w="4520" w:type="dxa"/>
            <w:vAlign w:val="bottom"/>
          </w:tcPr>
          <w:p>
            <w:pPr>
              <w:ind w:left="240"/>
              <w:spacing w:after="0"/>
              <w:rPr>
                <w:sz w:val="20"/>
                <w:szCs w:val="20"/>
                <w:color w:val="auto"/>
              </w:rPr>
            </w:pPr>
            <w:r>
              <w:rPr>
                <w:rFonts w:ascii="Arial" w:cs="Arial" w:eastAsia="Arial" w:hAnsi="Arial"/>
                <w:sz w:val="13"/>
                <w:szCs w:val="13"/>
                <w:color w:val="auto"/>
              </w:rPr>
              <w:t>Customer care and enrollment</w:t>
            </w:r>
          </w:p>
        </w:tc>
        <w:tc>
          <w:tcPr>
            <w:tcW w:w="20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320,165</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30.1 %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165,497</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18.9 %</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154,668</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93.5 %</w:t>
            </w:r>
          </w:p>
        </w:tc>
        <w:tc>
          <w:tcPr>
            <w:tcW w:w="0" w:type="dxa"/>
            <w:vAlign w:val="bottom"/>
          </w:tcPr>
          <w:p>
            <w:pPr>
              <w:spacing w:after="0"/>
              <w:rPr>
                <w:sz w:val="1"/>
                <w:szCs w:val="1"/>
                <w:color w:val="auto"/>
              </w:rPr>
            </w:pPr>
          </w:p>
        </w:tc>
      </w:tr>
      <w:tr>
        <w:trPr>
          <w:trHeight w:val="183"/>
        </w:trPr>
        <w:tc>
          <w:tcPr>
            <w:tcW w:w="45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Technology</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48,429</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59,348</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6.8 %</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(10,919)</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0" w:type="dxa"/>
            <w:vAlign w:val="bottom"/>
          </w:tcPr>
          <w:p>
            <w:pPr>
              <w:spacing w:after="0"/>
              <w:rPr>
                <w:sz w:val="1"/>
                <w:szCs w:val="1"/>
                <w:color w:val="auto"/>
              </w:rPr>
            </w:pPr>
          </w:p>
        </w:tc>
      </w:tr>
      <w:tr>
        <w:trPr>
          <w:trHeight w:val="168"/>
        </w:trPr>
        <w:tc>
          <w:tcPr>
            <w:tcW w:w="4520" w:type="dxa"/>
            <w:vAlign w:val="bottom"/>
          </w:tcPr>
          <w:p>
            <w:pPr>
              <w:ind w:left="240"/>
              <w:spacing w:after="0"/>
              <w:rPr>
                <w:sz w:val="20"/>
                <w:szCs w:val="20"/>
                <w:color w:val="auto"/>
              </w:rPr>
            </w:pPr>
            <w:r>
              <w:rPr>
                <w:rFonts w:ascii="Arial" w:cs="Arial" w:eastAsia="Arial" w:hAnsi="Arial"/>
                <w:sz w:val="13"/>
                <w:szCs w:val="13"/>
                <w:color w:val="auto"/>
              </w:rPr>
              <w:t>General and administrative</w:t>
            </w:r>
          </w:p>
        </w:tc>
        <w:tc>
          <w:tcPr>
            <w:tcW w:w="20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98,183</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9.2 %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197,229</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22.5 %</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(99,046)</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(50.2)%</w:t>
            </w:r>
          </w:p>
        </w:tc>
        <w:tc>
          <w:tcPr>
            <w:tcW w:w="0" w:type="dxa"/>
            <w:vAlign w:val="bottom"/>
          </w:tcPr>
          <w:p>
            <w:pPr>
              <w:spacing w:after="0"/>
              <w:rPr>
                <w:sz w:val="1"/>
                <w:szCs w:val="1"/>
                <w:color w:val="auto"/>
              </w:rPr>
            </w:pPr>
          </w:p>
        </w:tc>
      </w:tr>
      <w:tr>
        <w:trPr>
          <w:trHeight w:val="183"/>
        </w:trPr>
        <w:tc>
          <w:tcPr>
            <w:tcW w:w="45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Change in fair value of contingent consideration liability</w:t>
            </w: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19,700</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2.2 %</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(19,700)</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68"/>
        </w:trPr>
        <w:tc>
          <w:tcPr>
            <w:tcW w:w="4520" w:type="dxa"/>
            <w:vAlign w:val="bottom"/>
          </w:tcPr>
          <w:p>
            <w:pPr>
              <w:ind w:left="240"/>
              <w:spacing w:after="0"/>
              <w:rPr>
                <w:sz w:val="20"/>
                <w:szCs w:val="20"/>
                <w:color w:val="auto"/>
              </w:rPr>
            </w:pPr>
            <w:r>
              <w:rPr>
                <w:rFonts w:ascii="Arial" w:cs="Arial" w:eastAsia="Arial" w:hAnsi="Arial"/>
                <w:sz w:val="13"/>
                <w:szCs w:val="13"/>
                <w:color w:val="auto"/>
              </w:rPr>
              <w:t>Amortization of intangible assets</w:t>
            </w:r>
          </w:p>
        </w:tc>
        <w:tc>
          <w:tcPr>
            <w:tcW w:w="20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94,056</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8.9 %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94,056</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10.7 %</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83"/>
        </w:trPr>
        <w:tc>
          <w:tcPr>
            <w:tcW w:w="45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Goodwill impairment charges</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386,553</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386,553</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3"/>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operating expenses</w:t>
            </w:r>
          </w:p>
        </w:tc>
        <w:tc>
          <w:tcPr>
            <w:tcW w:w="2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1,551,862</w:t>
            </w:r>
          </w:p>
        </w:tc>
        <w:tc>
          <w:tcPr>
            <w:tcW w:w="100" w:type="dxa"/>
            <w:vAlign w:val="bottom"/>
            <w:tcBorders>
              <w:bottom w:val="single" w:sz="8" w:color="CCEEFF"/>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146.1 %</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941,896</w:t>
            </w:r>
          </w:p>
        </w:tc>
        <w:tc>
          <w:tcPr>
            <w:tcW w:w="80" w:type="dxa"/>
            <w:vAlign w:val="bottom"/>
            <w:tcBorders>
              <w:bottom w:val="single" w:sz="8" w:color="CCEEFF"/>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107.4 %</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609,966</w:t>
            </w:r>
          </w:p>
        </w:tc>
        <w:tc>
          <w:tcPr>
            <w:tcW w:w="100" w:type="dxa"/>
            <w:vAlign w:val="bottom"/>
            <w:tcBorders>
              <w:bottom w:val="single" w:sz="8" w:color="CCEEFF"/>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64.8 %</w:t>
            </w:r>
          </w:p>
        </w:tc>
        <w:tc>
          <w:tcPr>
            <w:tcW w:w="0" w:type="dxa"/>
            <w:vAlign w:val="bottom"/>
          </w:tcPr>
          <w:p>
            <w:pPr>
              <w:spacing w:after="0"/>
              <w:rPr>
                <w:sz w:val="1"/>
                <w:szCs w:val="1"/>
                <w:color w:val="auto"/>
              </w:rPr>
            </w:pPr>
          </w:p>
        </w:tc>
      </w:tr>
      <w:tr>
        <w:trPr>
          <w:trHeight w:val="176"/>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(loss) from operations</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(489,447)</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(64,546)</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(424,901)</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658.3 %</w:t>
            </w:r>
          </w:p>
        </w:tc>
        <w:tc>
          <w:tcPr>
            <w:tcW w:w="0" w:type="dxa"/>
            <w:vAlign w:val="bottom"/>
          </w:tcPr>
          <w:p>
            <w:pPr>
              <w:spacing w:after="0"/>
              <w:rPr>
                <w:sz w:val="1"/>
                <w:szCs w:val="1"/>
                <w:color w:val="auto"/>
              </w:rPr>
            </w:pPr>
          </w:p>
        </w:tc>
      </w:tr>
      <w:tr>
        <w:trPr>
          <w:trHeight w:val="168"/>
        </w:trPr>
        <w:tc>
          <w:tcPr>
            <w:tcW w:w="4520" w:type="dxa"/>
            <w:vAlign w:val="bottom"/>
          </w:tcPr>
          <w:p>
            <w:pPr>
              <w:ind w:left="20"/>
              <w:spacing w:after="0"/>
              <w:rPr>
                <w:sz w:val="20"/>
                <w:szCs w:val="20"/>
                <w:color w:val="auto"/>
              </w:rPr>
            </w:pPr>
            <w:r>
              <w:rPr>
                <w:rFonts w:ascii="Arial" w:cs="Arial" w:eastAsia="Arial" w:hAnsi="Arial"/>
                <w:sz w:val="13"/>
                <w:szCs w:val="13"/>
                <w:color w:val="auto"/>
              </w:rPr>
              <w:t>Interest expense</w:t>
            </w:r>
          </w:p>
        </w:tc>
        <w:tc>
          <w:tcPr>
            <w:tcW w:w="20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33,505</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3.2 %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32,969</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3.8 %</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536</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1.6 %</w:t>
            </w:r>
          </w:p>
        </w:tc>
        <w:tc>
          <w:tcPr>
            <w:tcW w:w="0" w:type="dxa"/>
            <w:vAlign w:val="bottom"/>
          </w:tcPr>
          <w:p>
            <w:pPr>
              <w:spacing w:after="0"/>
              <w:rPr>
                <w:sz w:val="1"/>
                <w:szCs w:val="1"/>
                <w:color w:val="auto"/>
              </w:rPr>
            </w:pPr>
          </w:p>
        </w:tc>
      </w:tr>
      <w:tr>
        <w:trPr>
          <w:trHeight w:val="183"/>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on extinguishment of debt</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11,935</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11,935</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9"/>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(income) expense</w:t>
            </w: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(669)</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(358)</w:t>
            </w:r>
          </w:p>
        </w:tc>
        <w:tc>
          <w:tcPr>
            <w:tcW w:w="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(311)</w:t>
            </w: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86.9 %</w:t>
            </w:r>
          </w:p>
        </w:tc>
        <w:tc>
          <w:tcPr>
            <w:tcW w:w="0" w:type="dxa"/>
            <w:vAlign w:val="bottom"/>
          </w:tcPr>
          <w:p>
            <w:pPr>
              <w:spacing w:after="0"/>
              <w:rPr>
                <w:sz w:val="1"/>
                <w:szCs w:val="1"/>
                <w:color w:val="auto"/>
              </w:rPr>
            </w:pPr>
          </w:p>
        </w:tc>
      </w:tr>
      <w:tr>
        <w:trPr>
          <w:trHeight w:val="175"/>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(loss) before income taxes</w:t>
            </w: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(534,218)</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(50.3)%</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(97,157)</w:t>
            </w:r>
          </w:p>
        </w:tc>
        <w:tc>
          <w:tcPr>
            <w:tcW w:w="8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(437,061)</w:t>
            </w:r>
          </w:p>
        </w:tc>
        <w:tc>
          <w:tcPr>
            <w:tcW w:w="10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449.9 %</w:t>
            </w:r>
          </w:p>
        </w:tc>
        <w:tc>
          <w:tcPr>
            <w:tcW w:w="0" w:type="dxa"/>
            <w:vAlign w:val="bottom"/>
          </w:tcPr>
          <w:p>
            <w:pPr>
              <w:spacing w:after="0"/>
              <w:rPr>
                <w:sz w:val="1"/>
                <w:szCs w:val="1"/>
                <w:color w:val="auto"/>
              </w:rPr>
            </w:pPr>
          </w:p>
        </w:tc>
      </w:tr>
      <w:tr>
        <w:trPr>
          <w:trHeight w:val="163"/>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expense (benefit)</w:t>
            </w: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(24)</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43</w:t>
            </w:r>
          </w:p>
        </w:tc>
        <w:tc>
          <w:tcPr>
            <w:tcW w:w="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w:t>
            </w: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(155.8)%</w:t>
            </w:r>
          </w:p>
        </w:tc>
        <w:tc>
          <w:tcPr>
            <w:tcW w:w="0" w:type="dxa"/>
            <w:vAlign w:val="bottom"/>
          </w:tcPr>
          <w:p>
            <w:pPr>
              <w:spacing w:after="0"/>
              <w:rPr>
                <w:sz w:val="1"/>
                <w:szCs w:val="1"/>
                <w:color w:val="auto"/>
              </w:rPr>
            </w:pPr>
          </w:p>
        </w:tc>
      </w:tr>
      <w:tr>
        <w:trPr>
          <w:trHeight w:val="176"/>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(534,194)</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(97,200)</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(436,994)</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449.6 %</w:t>
            </w:r>
          </w:p>
        </w:tc>
        <w:tc>
          <w:tcPr>
            <w:tcW w:w="0" w:type="dxa"/>
            <w:vAlign w:val="bottom"/>
          </w:tcPr>
          <w:p>
            <w:pPr>
              <w:spacing w:after="0"/>
              <w:rPr>
                <w:sz w:val="1"/>
                <w:szCs w:val="1"/>
                <w:color w:val="auto"/>
              </w:rPr>
            </w:pPr>
          </w:p>
        </w:tc>
      </w:tr>
      <w:tr>
        <w:trPr>
          <w:trHeight w:val="163"/>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loss attributable to noncontrolling interests</w:t>
            </w:r>
          </w:p>
        </w:tc>
        <w:tc>
          <w:tcPr>
            <w:tcW w:w="2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(344,837)</w:t>
            </w:r>
          </w:p>
        </w:tc>
        <w:tc>
          <w:tcPr>
            <w:tcW w:w="100" w:type="dxa"/>
            <w:vAlign w:val="bottom"/>
            <w:tcBorders>
              <w:bottom w:val="single" w:sz="8" w:color="CCEEFF"/>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(32.5)%</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(52,933)</w:t>
            </w:r>
          </w:p>
        </w:tc>
        <w:tc>
          <w:tcPr>
            <w:tcW w:w="80" w:type="dxa"/>
            <w:vAlign w:val="bottom"/>
            <w:tcBorders>
              <w:bottom w:val="single" w:sz="8" w:color="CCEEFF"/>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(6.0)%</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CCEEFF"/>
            </w:tcBorders>
          </w:tcPr>
          <w:p>
            <w:pPr>
              <w:spacing w:after="0"/>
              <w:rPr>
                <w:sz w:val="14"/>
                <w:szCs w:val="14"/>
                <w:color w:val="auto"/>
              </w:rPr>
            </w:pPr>
          </w:p>
        </w:tc>
        <w:tc>
          <w:tcPr>
            <w:tcW w:w="820" w:type="dxa"/>
            <w:vAlign w:val="bottom"/>
            <w:tcBorders>
              <w:top w:val="single" w:sz="8" w:color="auto"/>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40" w:type="dxa"/>
            <w:vAlign w:val="bottom"/>
            <w:tcBorders>
              <w:top w:val="single" w:sz="8" w:color="auto"/>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loss attributable to GoHealth, Inc.</w:t>
            </w: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(189,357)</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(17.8)%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(44,267)</w:t>
            </w: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i w:val="1"/>
                <w:iCs w:val="1"/>
                <w:color w:val="auto"/>
              </w:rPr>
              <w:t>Net income (loss) per share: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5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 per share of common stock — basic and diluted</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(1.79)</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(0.22)</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520" w:type="dxa"/>
            <w:vAlign w:val="bottom"/>
          </w:tcPr>
          <w:p>
            <w:pPr>
              <w:ind w:left="20"/>
              <w:spacing w:after="0"/>
              <w:rPr>
                <w:sz w:val="20"/>
                <w:szCs w:val="20"/>
                <w:color w:val="auto"/>
              </w:rPr>
            </w:pPr>
            <w:r>
              <w:rPr>
                <w:rFonts w:ascii="Arial" w:cs="Arial" w:eastAsia="Arial" w:hAnsi="Arial"/>
                <w:sz w:val="13"/>
                <w:szCs w:val="13"/>
                <w:color w:val="auto"/>
              </w:rPr>
              <w:t>Weighted-average shares of common stock outstanding — basic and diluted</w:t>
            </w:r>
          </w:p>
        </w:tc>
        <w:tc>
          <w:tcPr>
            <w:tcW w:w="20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105,991</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84,189</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52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Non-GAAP financial measures:</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520" w:type="dxa"/>
            <w:vAlign w:val="bottom"/>
          </w:tcPr>
          <w:p>
            <w:pPr>
              <w:ind w:left="240"/>
              <w:spacing w:after="0"/>
              <w:rPr>
                <w:sz w:val="20"/>
                <w:szCs w:val="20"/>
                <w:color w:val="auto"/>
              </w:rPr>
            </w:pPr>
            <w:r>
              <w:rPr>
                <w:rFonts w:ascii="Arial" w:cs="Arial" w:eastAsia="Arial" w:hAnsi="Arial"/>
                <w:sz w:val="13"/>
                <w:szCs w:val="13"/>
                <w:color w:val="auto"/>
              </w:rPr>
              <w:t>EBITDA</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(393,206)</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34,364</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5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Adjusted EBITDA</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33,821</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271,029</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4520" w:type="dxa"/>
            <w:vAlign w:val="bottom"/>
          </w:tcPr>
          <w:p>
            <w:pPr>
              <w:ind w:left="240"/>
              <w:spacing w:after="0"/>
              <w:rPr>
                <w:sz w:val="20"/>
                <w:szCs w:val="20"/>
                <w:color w:val="auto"/>
              </w:rPr>
            </w:pPr>
            <w:r>
              <w:rPr>
                <w:rFonts w:ascii="Arial" w:cs="Arial" w:eastAsia="Arial" w:hAnsi="Arial"/>
                <w:sz w:val="13"/>
                <w:szCs w:val="13"/>
                <w:color w:val="auto"/>
              </w:rPr>
              <w:t>Adjusted EBITDA margin</w:t>
            </w: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3.2 %</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30.9 %</w:t>
            </w: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rPr>
          <w:sz w:val="20"/>
          <w:szCs w:val="20"/>
          <w:color w:val="auto"/>
        </w:rPr>
      </w:pPr>
      <w:r>
        <w:rPr>
          <w:rFonts w:ascii="Arial" w:cs="Arial" w:eastAsia="Arial" w:hAnsi="Arial"/>
          <w:sz w:val="13"/>
          <w:szCs w:val="13"/>
          <w:i w:val="1"/>
          <w:iCs w:val="1"/>
          <w:color w:val="auto"/>
        </w:rPr>
        <w:t>NM = Not meaningful</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1319"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The following tables set forth the reconciliations of GAAP net income (loss) to EBITDA and Adjusted EBITDA for the periods indicated (unaudited):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Three months</w:t>
            </w:r>
          </w:p>
        </w:tc>
        <w:tc>
          <w:tcPr>
            <w:tcW w:w="120" w:type="dxa"/>
            <w:vAlign w:val="bottom"/>
          </w:tcPr>
          <w:p>
            <w:pPr>
              <w:spacing w:after="0"/>
              <w:rPr>
                <w:sz w:val="13"/>
                <w:szCs w:val="13"/>
                <w:color w:val="auto"/>
              </w:rPr>
            </w:pPr>
          </w:p>
        </w:tc>
        <w:tc>
          <w:tcPr>
            <w:tcW w:w="1080" w:type="dxa"/>
            <w:vAlign w:val="bottom"/>
          </w:tcPr>
          <w:p>
            <w:pPr>
              <w:jc w:val="center"/>
              <w:ind w:right="57"/>
              <w:spacing w:after="0"/>
              <w:rPr>
                <w:sz w:val="20"/>
                <w:szCs w:val="20"/>
                <w:color w:val="auto"/>
              </w:rPr>
            </w:pPr>
            <w:r>
              <w:rPr>
                <w:rFonts w:ascii="Arial" w:cs="Arial" w:eastAsia="Arial" w:hAnsi="Arial"/>
                <w:sz w:val="13"/>
                <w:szCs w:val="13"/>
                <w:b w:val="1"/>
                <w:bCs w:val="1"/>
                <w:color w:val="auto"/>
                <w:w w:val="97"/>
              </w:rPr>
              <w:t>Three months</w:t>
            </w:r>
          </w:p>
        </w:tc>
        <w:tc>
          <w:tcPr>
            <w:tcW w:w="0" w:type="dxa"/>
            <w:vAlign w:val="bottom"/>
          </w:tcPr>
          <w:p>
            <w:pPr>
              <w:spacing w:after="0"/>
              <w:rPr>
                <w:sz w:val="1"/>
                <w:szCs w:val="1"/>
                <w:color w:val="auto"/>
              </w:rPr>
            </w:pPr>
          </w:p>
        </w:tc>
      </w:tr>
      <w:tr>
        <w:trPr>
          <w:trHeight w:val="122"/>
        </w:trPr>
        <w:tc>
          <w:tcPr>
            <w:tcW w:w="8740" w:type="dxa"/>
            <w:vAlign w:val="bottom"/>
            <w:vMerge w:val="restart"/>
          </w:tcPr>
          <w:p>
            <w:pPr>
              <w:ind w:left="20"/>
              <w:spacing w:after="0"/>
              <w:rPr>
                <w:sz w:val="20"/>
                <w:szCs w:val="20"/>
                <w:color w:val="auto"/>
              </w:rPr>
            </w:pPr>
            <w:r>
              <w:rPr>
                <w:rFonts w:ascii="Arial" w:cs="Arial" w:eastAsia="Arial" w:hAnsi="Arial"/>
                <w:sz w:val="13"/>
                <w:szCs w:val="13"/>
                <w:color w:val="auto"/>
              </w:rPr>
              <w:t>(in thousands, except percentages)</w:t>
            </w:r>
          </w:p>
        </w:tc>
        <w:tc>
          <w:tcPr>
            <w:tcW w:w="120" w:type="dxa"/>
            <w:vAlign w:val="bottom"/>
          </w:tcPr>
          <w:p>
            <w:pPr>
              <w:spacing w:after="0"/>
              <w:rPr>
                <w:sz w:val="10"/>
                <w:szCs w:val="10"/>
                <w:color w:val="auto"/>
              </w:rPr>
            </w:pPr>
          </w:p>
        </w:tc>
        <w:tc>
          <w:tcPr>
            <w:tcW w:w="11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120" w:type="dxa"/>
            <w:vAlign w:val="bottom"/>
          </w:tcPr>
          <w:p>
            <w:pPr>
              <w:spacing w:after="0"/>
              <w:rPr>
                <w:sz w:val="10"/>
                <w:szCs w:val="10"/>
                <w:color w:val="auto"/>
              </w:rPr>
            </w:pPr>
          </w:p>
        </w:tc>
        <w:tc>
          <w:tcPr>
            <w:tcW w:w="108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0" w:type="dxa"/>
            <w:vAlign w:val="bottom"/>
          </w:tcPr>
          <w:p>
            <w:pPr>
              <w:spacing w:after="0"/>
              <w:rPr>
                <w:sz w:val="1"/>
                <w:szCs w:val="1"/>
                <w:color w:val="auto"/>
              </w:rPr>
            </w:pPr>
          </w:p>
        </w:tc>
      </w:tr>
      <w:tr>
        <w:trPr>
          <w:trHeight w:val="172"/>
        </w:trPr>
        <w:tc>
          <w:tcPr>
            <w:tcW w:w="874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73"/>
        </w:trPr>
        <w:tc>
          <w:tcPr>
            <w:tcW w:w="8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449,600</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445,923</w:t>
            </w:r>
          </w:p>
        </w:tc>
        <w:tc>
          <w:tcPr>
            <w:tcW w:w="0" w:type="dxa"/>
            <w:vAlign w:val="bottom"/>
          </w:tcPr>
          <w:p>
            <w:pPr>
              <w:spacing w:after="0"/>
              <w:rPr>
                <w:sz w:val="1"/>
                <w:szCs w:val="1"/>
                <w:color w:val="auto"/>
              </w:rPr>
            </w:pPr>
          </w:p>
        </w:tc>
      </w:tr>
      <w:tr>
        <w:trPr>
          <w:trHeight w:val="161"/>
        </w:trPr>
        <w:tc>
          <w:tcPr>
            <w:tcW w:w="874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12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(432,320)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133,100</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Interest expense</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9,619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8,591</w:t>
            </w:r>
          </w:p>
        </w:tc>
        <w:tc>
          <w:tcPr>
            <w:tcW w:w="0" w:type="dxa"/>
            <w:vAlign w:val="bottom"/>
          </w:tcPr>
          <w:p>
            <w:pPr>
              <w:spacing w:after="0"/>
              <w:rPr>
                <w:sz w:val="1"/>
                <w:szCs w:val="1"/>
                <w:color w:val="auto"/>
              </w:rPr>
            </w:pPr>
          </w:p>
        </w:tc>
      </w:tr>
      <w:tr>
        <w:trPr>
          <w:trHeight w:val="168"/>
        </w:trPr>
        <w:tc>
          <w:tcPr>
            <w:tcW w:w="8740" w:type="dxa"/>
            <w:vAlign w:val="bottom"/>
          </w:tcPr>
          <w:p>
            <w:pPr>
              <w:ind w:left="240"/>
              <w:spacing w:after="0"/>
              <w:rPr>
                <w:sz w:val="20"/>
                <w:szCs w:val="20"/>
                <w:color w:val="auto"/>
              </w:rPr>
            </w:pPr>
            <w:r>
              <w:rPr>
                <w:rFonts w:ascii="Arial" w:cs="Arial" w:eastAsia="Arial" w:hAnsi="Arial"/>
                <w:sz w:val="13"/>
                <w:szCs w:val="13"/>
                <w:color w:val="auto"/>
              </w:rPr>
              <w:t>Income tax expense</w:t>
            </w:r>
          </w:p>
        </w:tc>
        <w:tc>
          <w:tcPr>
            <w:tcW w:w="120" w:type="dxa"/>
            <w:vAlign w:val="bottom"/>
          </w:tcPr>
          <w:p>
            <w:pPr>
              <w:spacing w:after="0"/>
              <w:rPr>
                <w:sz w:val="14"/>
                <w:szCs w:val="14"/>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118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 expense</w:t>
            </w: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30,332</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25,110</w:t>
            </w:r>
          </w:p>
        </w:tc>
        <w:tc>
          <w:tcPr>
            <w:tcW w:w="0" w:type="dxa"/>
            <w:vAlign w:val="bottom"/>
          </w:tcPr>
          <w:p>
            <w:pPr>
              <w:spacing w:after="0"/>
              <w:rPr>
                <w:sz w:val="1"/>
                <w:szCs w:val="1"/>
                <w:color w:val="auto"/>
              </w:rPr>
            </w:pPr>
          </w:p>
        </w:tc>
      </w:tr>
      <w:tr>
        <w:trPr>
          <w:trHeight w:val="163"/>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EBITDA</w:t>
            </w: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(392,251)</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166,806</w:t>
            </w:r>
          </w:p>
        </w:tc>
        <w:tc>
          <w:tcPr>
            <w:tcW w:w="0" w:type="dxa"/>
            <w:vAlign w:val="bottom"/>
          </w:tcPr>
          <w:p>
            <w:pPr>
              <w:spacing w:after="0"/>
              <w:rPr>
                <w:sz w:val="1"/>
                <w:szCs w:val="1"/>
                <w:color w:val="auto"/>
              </w:rPr>
            </w:pPr>
          </w:p>
        </w:tc>
      </w:tr>
      <w:tr>
        <w:trPr>
          <w:trHeight w:val="176"/>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Goodwill impairment charges (1)</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386,553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874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Share-based compensation expense (2)</w:t>
            </w: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7,197</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3,083</w:t>
            </w:r>
          </w:p>
        </w:tc>
        <w:tc>
          <w:tcPr>
            <w:tcW w:w="0" w:type="dxa"/>
            <w:vAlign w:val="bottom"/>
          </w:tcPr>
          <w:p>
            <w:pPr>
              <w:spacing w:after="0"/>
              <w:rPr>
                <w:sz w:val="1"/>
                <w:szCs w:val="1"/>
                <w:color w:val="auto"/>
              </w:rPr>
            </w:pPr>
          </w:p>
        </w:tc>
      </w:tr>
      <w:tr>
        <w:trPr>
          <w:trHeight w:val="201"/>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Adjusted 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1,499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169,889</w:t>
            </w:r>
          </w:p>
        </w:tc>
        <w:tc>
          <w:tcPr>
            <w:tcW w:w="0" w:type="dxa"/>
            <w:vAlign w:val="bottom"/>
          </w:tcPr>
          <w:p>
            <w:pPr>
              <w:spacing w:after="0"/>
              <w:rPr>
                <w:sz w:val="1"/>
                <w:szCs w:val="1"/>
                <w:color w:val="auto"/>
              </w:rPr>
            </w:pPr>
          </w:p>
        </w:tc>
      </w:tr>
      <w:tr>
        <w:trPr>
          <w:trHeight w:val="20"/>
        </w:trPr>
        <w:tc>
          <w:tcPr>
            <w:tcW w:w="8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Adjusted EBITDA margin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87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spacing w:after="0" w:line="134" w:lineRule="exact"/>
              <w:rPr>
                <w:sz w:val="20"/>
                <w:szCs w:val="20"/>
                <w:color w:val="auto"/>
              </w:rPr>
            </w:pPr>
            <w:r>
              <w:rPr>
                <w:rFonts w:ascii="Arial" w:cs="Arial" w:eastAsia="Arial" w:hAnsi="Arial"/>
                <w:sz w:val="13"/>
                <w:szCs w:val="13"/>
                <w:color w:val="auto"/>
              </w:rPr>
              <w:t>0.3 %</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spacing w:after="0" w:line="134" w:lineRule="exact"/>
              <w:rPr>
                <w:sz w:val="20"/>
                <w:szCs w:val="20"/>
                <w:color w:val="auto"/>
              </w:rPr>
            </w:pPr>
            <w:r>
              <w:rPr>
                <w:rFonts w:ascii="Arial" w:cs="Arial" w:eastAsia="Arial" w:hAnsi="Arial"/>
                <w:sz w:val="13"/>
                <w:szCs w:val="13"/>
                <w:color w:val="auto"/>
              </w:rPr>
              <w:t>38.1 %</w:t>
            </w: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ind w:left="320" w:hanging="312"/>
        <w:spacing w:after="0"/>
        <w:tabs>
          <w:tab w:leader="none" w:pos="320" w:val="left"/>
        </w:tabs>
        <w:numPr>
          <w:ilvl w:val="0"/>
          <w:numId w:val="8"/>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goodwill impairment charges related to the Medicare— Internal and Medicare— External reporting units for the three months ended December 31, 2021.</w:t>
      </w:r>
    </w:p>
    <w:p>
      <w:pPr>
        <w:ind w:left="320" w:hanging="312"/>
        <w:spacing w:after="0"/>
        <w:tabs>
          <w:tab w:leader="none" w:pos="320" w:val="left"/>
        </w:tabs>
        <w:numPr>
          <w:ilvl w:val="0"/>
          <w:numId w:val="8"/>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non-cash share-based compensation expense relating to equity awards.</w:t>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Twelve months</w:t>
            </w:r>
          </w:p>
        </w:tc>
        <w:tc>
          <w:tcPr>
            <w:tcW w:w="120" w:type="dxa"/>
            <w:vAlign w:val="bottom"/>
          </w:tcPr>
          <w:p>
            <w:pPr>
              <w:spacing w:after="0"/>
              <w:rPr>
                <w:sz w:val="13"/>
                <w:szCs w:val="13"/>
                <w:color w:val="auto"/>
              </w:rPr>
            </w:pPr>
          </w:p>
        </w:tc>
        <w:tc>
          <w:tcPr>
            <w:tcW w:w="1080" w:type="dxa"/>
            <w:vAlign w:val="bottom"/>
          </w:tcPr>
          <w:p>
            <w:pPr>
              <w:jc w:val="center"/>
              <w:ind w:right="77"/>
              <w:spacing w:after="0"/>
              <w:rPr>
                <w:sz w:val="20"/>
                <w:szCs w:val="20"/>
                <w:color w:val="auto"/>
              </w:rPr>
            </w:pPr>
            <w:r>
              <w:rPr>
                <w:rFonts w:ascii="Arial" w:cs="Arial" w:eastAsia="Arial" w:hAnsi="Arial"/>
                <w:sz w:val="13"/>
                <w:szCs w:val="13"/>
                <w:b w:val="1"/>
                <w:bCs w:val="1"/>
                <w:color w:val="auto"/>
                <w:w w:val="95"/>
              </w:rPr>
              <w:t>Twelve months</w:t>
            </w:r>
          </w:p>
        </w:tc>
        <w:tc>
          <w:tcPr>
            <w:tcW w:w="0" w:type="dxa"/>
            <w:vAlign w:val="bottom"/>
          </w:tcPr>
          <w:p>
            <w:pPr>
              <w:spacing w:after="0"/>
              <w:rPr>
                <w:sz w:val="1"/>
                <w:szCs w:val="1"/>
                <w:color w:val="auto"/>
              </w:rPr>
            </w:pPr>
          </w:p>
        </w:tc>
      </w:tr>
      <w:tr>
        <w:trPr>
          <w:trHeight w:val="122"/>
        </w:trPr>
        <w:tc>
          <w:tcPr>
            <w:tcW w:w="8720" w:type="dxa"/>
            <w:vAlign w:val="bottom"/>
            <w:vMerge w:val="restart"/>
          </w:tcPr>
          <w:p>
            <w:pPr>
              <w:ind w:left="20"/>
              <w:spacing w:after="0"/>
              <w:rPr>
                <w:sz w:val="20"/>
                <w:szCs w:val="20"/>
                <w:color w:val="auto"/>
              </w:rPr>
            </w:pPr>
            <w:r>
              <w:rPr>
                <w:rFonts w:ascii="Arial" w:cs="Arial" w:eastAsia="Arial" w:hAnsi="Arial"/>
                <w:sz w:val="13"/>
                <w:szCs w:val="13"/>
                <w:color w:val="auto"/>
              </w:rPr>
              <w:t>(in thousands, except percentages)</w:t>
            </w:r>
          </w:p>
        </w:tc>
        <w:tc>
          <w:tcPr>
            <w:tcW w:w="140" w:type="dxa"/>
            <w:vAlign w:val="bottom"/>
          </w:tcPr>
          <w:p>
            <w:pPr>
              <w:spacing w:after="0"/>
              <w:rPr>
                <w:sz w:val="10"/>
                <w:szCs w:val="10"/>
                <w:color w:val="auto"/>
              </w:rPr>
            </w:pPr>
          </w:p>
        </w:tc>
        <w:tc>
          <w:tcPr>
            <w:tcW w:w="11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120" w:type="dxa"/>
            <w:vAlign w:val="bottom"/>
          </w:tcPr>
          <w:p>
            <w:pPr>
              <w:spacing w:after="0"/>
              <w:rPr>
                <w:sz w:val="10"/>
                <w:szCs w:val="10"/>
                <w:color w:val="auto"/>
              </w:rPr>
            </w:pPr>
          </w:p>
        </w:tc>
        <w:tc>
          <w:tcPr>
            <w:tcW w:w="108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0" w:type="dxa"/>
            <w:vAlign w:val="bottom"/>
          </w:tcPr>
          <w:p>
            <w:pPr>
              <w:spacing w:after="0"/>
              <w:rPr>
                <w:sz w:val="1"/>
                <w:szCs w:val="1"/>
                <w:color w:val="auto"/>
              </w:rPr>
            </w:pPr>
          </w:p>
        </w:tc>
      </w:tr>
      <w:tr>
        <w:trPr>
          <w:trHeight w:val="172"/>
        </w:trPr>
        <w:tc>
          <w:tcPr>
            <w:tcW w:w="872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73"/>
        </w:trPr>
        <w:tc>
          <w:tcPr>
            <w:tcW w:w="8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1,062,415</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877,350</w:t>
            </w:r>
          </w:p>
        </w:tc>
        <w:tc>
          <w:tcPr>
            <w:tcW w:w="0" w:type="dxa"/>
            <w:vAlign w:val="bottom"/>
          </w:tcPr>
          <w:p>
            <w:pPr>
              <w:spacing w:after="0"/>
              <w:rPr>
                <w:sz w:val="1"/>
                <w:szCs w:val="1"/>
                <w:color w:val="auto"/>
              </w:rPr>
            </w:pPr>
          </w:p>
        </w:tc>
      </w:tr>
      <w:tr>
        <w:trPr>
          <w:trHeight w:val="161"/>
        </w:trPr>
        <w:tc>
          <w:tcPr>
            <w:tcW w:w="872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14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(534,194)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(97,200)</w:t>
            </w:r>
          </w:p>
        </w:tc>
        <w:tc>
          <w:tcPr>
            <w:tcW w:w="0" w:type="dxa"/>
            <w:vAlign w:val="bottom"/>
          </w:tcPr>
          <w:p>
            <w:pPr>
              <w:spacing w:after="0"/>
              <w:rPr>
                <w:sz w:val="1"/>
                <w:szCs w:val="1"/>
                <w:color w:val="auto"/>
              </w:rPr>
            </w:pPr>
          </w:p>
        </w:tc>
      </w:tr>
      <w:tr>
        <w:trPr>
          <w:trHeight w:val="183"/>
        </w:trPr>
        <w:tc>
          <w:tcPr>
            <w:tcW w:w="8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Interest expense</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33,505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32,969</w:t>
            </w:r>
          </w:p>
        </w:tc>
        <w:tc>
          <w:tcPr>
            <w:tcW w:w="0" w:type="dxa"/>
            <w:vAlign w:val="bottom"/>
          </w:tcPr>
          <w:p>
            <w:pPr>
              <w:spacing w:after="0"/>
              <w:rPr>
                <w:sz w:val="1"/>
                <w:szCs w:val="1"/>
                <w:color w:val="auto"/>
              </w:rPr>
            </w:pPr>
          </w:p>
        </w:tc>
      </w:tr>
      <w:tr>
        <w:trPr>
          <w:trHeight w:val="168"/>
        </w:trPr>
        <w:tc>
          <w:tcPr>
            <w:tcW w:w="8720" w:type="dxa"/>
            <w:vAlign w:val="bottom"/>
          </w:tcPr>
          <w:p>
            <w:pPr>
              <w:ind w:left="240"/>
              <w:spacing w:after="0"/>
              <w:rPr>
                <w:sz w:val="20"/>
                <w:szCs w:val="20"/>
                <w:color w:val="auto"/>
              </w:rPr>
            </w:pPr>
            <w:r>
              <w:rPr>
                <w:rFonts w:ascii="Arial" w:cs="Arial" w:eastAsia="Arial" w:hAnsi="Arial"/>
                <w:sz w:val="13"/>
                <w:szCs w:val="13"/>
                <w:color w:val="auto"/>
              </w:rPr>
              <w:t>Income tax expense (benefit)</w:t>
            </w:r>
          </w:p>
        </w:tc>
        <w:tc>
          <w:tcPr>
            <w:tcW w:w="14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83"/>
        </w:trPr>
        <w:tc>
          <w:tcPr>
            <w:tcW w:w="8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 expense</w:t>
            </w:r>
          </w:p>
        </w:tc>
        <w:tc>
          <w:tcPr>
            <w:tcW w:w="1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107,507</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98,552</w:t>
            </w:r>
          </w:p>
        </w:tc>
        <w:tc>
          <w:tcPr>
            <w:tcW w:w="0" w:type="dxa"/>
            <w:vAlign w:val="bottom"/>
          </w:tcPr>
          <w:p>
            <w:pPr>
              <w:spacing w:after="0"/>
              <w:rPr>
                <w:sz w:val="1"/>
                <w:szCs w:val="1"/>
                <w:color w:val="auto"/>
              </w:rPr>
            </w:pPr>
          </w:p>
        </w:tc>
      </w:tr>
      <w:tr>
        <w:trPr>
          <w:trHeight w:val="163"/>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EBITDA</w:t>
            </w: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(393,206)</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34,364</w:t>
            </w:r>
          </w:p>
        </w:tc>
        <w:tc>
          <w:tcPr>
            <w:tcW w:w="0" w:type="dxa"/>
            <w:vAlign w:val="bottom"/>
          </w:tcPr>
          <w:p>
            <w:pPr>
              <w:spacing w:after="0"/>
              <w:rPr>
                <w:sz w:val="1"/>
                <w:szCs w:val="1"/>
                <w:color w:val="auto"/>
              </w:rPr>
            </w:pPr>
          </w:p>
        </w:tc>
      </w:tr>
      <w:tr>
        <w:trPr>
          <w:trHeight w:val="175"/>
        </w:trPr>
        <w:tc>
          <w:tcPr>
            <w:tcW w:w="8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Loss on extinguishment of debt (1)</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11,935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720" w:type="dxa"/>
            <w:vAlign w:val="bottom"/>
          </w:tcPr>
          <w:p>
            <w:pPr>
              <w:ind w:left="240"/>
              <w:spacing w:after="0"/>
              <w:rPr>
                <w:sz w:val="20"/>
                <w:szCs w:val="20"/>
                <w:color w:val="auto"/>
              </w:rPr>
            </w:pPr>
            <w:r>
              <w:rPr>
                <w:rFonts w:ascii="Arial" w:cs="Arial" w:eastAsia="Arial" w:hAnsi="Arial"/>
                <w:sz w:val="13"/>
                <w:szCs w:val="13"/>
                <w:color w:val="auto"/>
              </w:rPr>
              <w:t>Goodwill impairment charges (2)</w:t>
            </w:r>
          </w:p>
        </w:tc>
        <w:tc>
          <w:tcPr>
            <w:tcW w:w="140" w:type="dxa"/>
            <w:vAlign w:val="bottom"/>
          </w:tcPr>
          <w:p>
            <w:pPr>
              <w:spacing w:after="0"/>
              <w:rPr>
                <w:sz w:val="14"/>
                <w:szCs w:val="14"/>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386,553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4"/>
        </w:trPr>
        <w:tc>
          <w:tcPr>
            <w:tcW w:w="8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Share-based compensation expense (3)</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27,297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6,929</w:t>
            </w:r>
          </w:p>
        </w:tc>
        <w:tc>
          <w:tcPr>
            <w:tcW w:w="0" w:type="dxa"/>
            <w:vAlign w:val="bottom"/>
          </w:tcPr>
          <w:p>
            <w:pPr>
              <w:spacing w:after="0"/>
              <w:rPr>
                <w:sz w:val="1"/>
                <w:szCs w:val="1"/>
                <w:color w:val="auto"/>
              </w:rPr>
            </w:pPr>
          </w:p>
        </w:tc>
      </w:tr>
      <w:tr>
        <w:trPr>
          <w:trHeight w:val="167"/>
        </w:trPr>
        <w:tc>
          <w:tcPr>
            <w:tcW w:w="8720" w:type="dxa"/>
            <w:vAlign w:val="bottom"/>
          </w:tcPr>
          <w:p>
            <w:pPr>
              <w:ind w:left="240"/>
              <w:spacing w:after="0"/>
              <w:rPr>
                <w:sz w:val="20"/>
                <w:szCs w:val="20"/>
                <w:color w:val="auto"/>
              </w:rPr>
            </w:pPr>
            <w:r>
              <w:rPr>
                <w:rFonts w:ascii="Arial" w:cs="Arial" w:eastAsia="Arial" w:hAnsi="Arial"/>
                <w:sz w:val="13"/>
                <w:szCs w:val="13"/>
                <w:color w:val="auto"/>
              </w:rPr>
              <w:t>Loss on sublease (4)</w:t>
            </w:r>
          </w:p>
        </w:tc>
        <w:tc>
          <w:tcPr>
            <w:tcW w:w="140" w:type="dxa"/>
            <w:vAlign w:val="bottom"/>
          </w:tcPr>
          <w:p>
            <w:pPr>
              <w:spacing w:after="0"/>
              <w:rPr>
                <w:sz w:val="14"/>
                <w:szCs w:val="14"/>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1,062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4"/>
        </w:trPr>
        <w:tc>
          <w:tcPr>
            <w:tcW w:w="8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Legal fees (5)</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180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720" w:type="dxa"/>
            <w:vAlign w:val="bottom"/>
          </w:tcPr>
          <w:p>
            <w:pPr>
              <w:ind w:left="240"/>
              <w:spacing w:after="0"/>
              <w:rPr>
                <w:sz w:val="20"/>
                <w:szCs w:val="20"/>
                <w:color w:val="auto"/>
              </w:rPr>
            </w:pPr>
            <w:r>
              <w:rPr>
                <w:rFonts w:ascii="Arial" w:cs="Arial" w:eastAsia="Arial" w:hAnsi="Arial"/>
                <w:sz w:val="13"/>
                <w:szCs w:val="13"/>
                <w:color w:val="auto"/>
              </w:rPr>
              <w:t>Accelerated vesting of certain equity awards (6)</w:t>
            </w:r>
          </w:p>
        </w:tc>
        <w:tc>
          <w:tcPr>
            <w:tcW w:w="14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209,300</w:t>
            </w:r>
          </w:p>
        </w:tc>
        <w:tc>
          <w:tcPr>
            <w:tcW w:w="0" w:type="dxa"/>
            <w:vAlign w:val="bottom"/>
          </w:tcPr>
          <w:p>
            <w:pPr>
              <w:spacing w:after="0"/>
              <w:rPr>
                <w:sz w:val="1"/>
                <w:szCs w:val="1"/>
                <w:color w:val="auto"/>
              </w:rPr>
            </w:pPr>
          </w:p>
        </w:tc>
      </w:tr>
      <w:tr>
        <w:trPr>
          <w:trHeight w:val="183"/>
        </w:trPr>
        <w:tc>
          <w:tcPr>
            <w:tcW w:w="8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Change in fair value of contingent consideration liability (7)</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19,700</w:t>
            </w:r>
          </w:p>
        </w:tc>
        <w:tc>
          <w:tcPr>
            <w:tcW w:w="0" w:type="dxa"/>
            <w:vAlign w:val="bottom"/>
          </w:tcPr>
          <w:p>
            <w:pPr>
              <w:spacing w:after="0"/>
              <w:rPr>
                <w:sz w:val="1"/>
                <w:szCs w:val="1"/>
                <w:color w:val="auto"/>
              </w:rPr>
            </w:pPr>
          </w:p>
        </w:tc>
      </w:tr>
      <w:tr>
        <w:trPr>
          <w:trHeight w:val="168"/>
        </w:trPr>
        <w:tc>
          <w:tcPr>
            <w:tcW w:w="8720" w:type="dxa"/>
            <w:vAlign w:val="bottom"/>
          </w:tcPr>
          <w:p>
            <w:pPr>
              <w:ind w:left="240"/>
              <w:spacing w:after="0"/>
              <w:rPr>
                <w:sz w:val="20"/>
                <w:szCs w:val="20"/>
                <w:color w:val="auto"/>
              </w:rPr>
            </w:pPr>
            <w:r>
              <w:rPr>
                <w:rFonts w:ascii="Arial" w:cs="Arial" w:eastAsia="Arial" w:hAnsi="Arial"/>
                <w:sz w:val="13"/>
                <w:szCs w:val="13"/>
                <w:color w:val="auto"/>
              </w:rPr>
              <w:t>IPO transactions costs (8)</w:t>
            </w:r>
          </w:p>
        </w:tc>
        <w:tc>
          <w:tcPr>
            <w:tcW w:w="14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659</w:t>
            </w:r>
          </w:p>
        </w:tc>
        <w:tc>
          <w:tcPr>
            <w:tcW w:w="0" w:type="dxa"/>
            <w:vAlign w:val="bottom"/>
          </w:tcPr>
          <w:p>
            <w:pPr>
              <w:spacing w:after="0"/>
              <w:rPr>
                <w:sz w:val="1"/>
                <w:szCs w:val="1"/>
                <w:color w:val="auto"/>
              </w:rPr>
            </w:pPr>
          </w:p>
        </w:tc>
      </w:tr>
      <w:tr>
        <w:trPr>
          <w:trHeight w:val="177"/>
        </w:trPr>
        <w:tc>
          <w:tcPr>
            <w:tcW w:w="8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Severance costs (9)</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175"/>
        </w:trPr>
        <w:tc>
          <w:tcPr>
            <w:tcW w:w="8720" w:type="dxa"/>
            <w:vAlign w:val="bottom"/>
          </w:tcPr>
          <w:p>
            <w:pPr>
              <w:ind w:left="20"/>
              <w:spacing w:after="0"/>
              <w:rPr>
                <w:sz w:val="20"/>
                <w:szCs w:val="20"/>
                <w:color w:val="auto"/>
              </w:rPr>
            </w:pPr>
            <w:r>
              <w:rPr>
                <w:rFonts w:ascii="Arial" w:cs="Arial" w:eastAsia="Arial" w:hAnsi="Arial"/>
                <w:sz w:val="13"/>
                <w:szCs w:val="13"/>
                <w:b w:val="1"/>
                <w:bCs w:val="1"/>
                <w:color w:val="auto"/>
              </w:rPr>
              <w:t>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33,821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0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271,029</w:t>
            </w:r>
          </w:p>
        </w:tc>
        <w:tc>
          <w:tcPr>
            <w:tcW w:w="0" w:type="dxa"/>
            <w:vAlign w:val="bottom"/>
          </w:tcPr>
          <w:p>
            <w:pPr>
              <w:spacing w:after="0"/>
              <w:rPr>
                <w:sz w:val="1"/>
                <w:szCs w:val="1"/>
                <w:color w:val="auto"/>
              </w:rPr>
            </w:pPr>
          </w:p>
        </w:tc>
      </w:tr>
      <w:tr>
        <w:trPr>
          <w:trHeight w:val="20"/>
        </w:trPr>
        <w:tc>
          <w:tcPr>
            <w:tcW w:w="8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EBITDA margin</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30.9 %</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ind w:left="320" w:hanging="312"/>
        <w:spacing w:after="0"/>
        <w:tabs>
          <w:tab w:leader="none" w:pos="32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loss on debt extinguishment related to the Initial Term Loan Facility.</w:t>
      </w:r>
    </w:p>
    <w:p>
      <w:pPr>
        <w:ind w:left="320" w:hanging="312"/>
        <w:spacing w:after="0"/>
        <w:tabs>
          <w:tab w:leader="none" w:pos="32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goodwill impairment charges related to the Medicare— Internal and Medicare— External reporting units for the twelve months ended December 31, 2021.</w:t>
      </w:r>
    </w:p>
    <w:p>
      <w:pPr>
        <w:ind w:left="320" w:hanging="312"/>
        <w:spacing w:after="0"/>
        <w:tabs>
          <w:tab w:leader="none" w:pos="32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non-cash share-based compensation expense relating to equity awards.</w:t>
      </w:r>
    </w:p>
    <w:p>
      <w:pPr>
        <w:ind w:left="320" w:hanging="312"/>
        <w:spacing w:after="0"/>
        <w:tabs>
          <w:tab w:leader="none" w:pos="32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loss related to a sublease agreement entered into during the twelve months ended December 31, 2021.</w:t>
      </w:r>
    </w:p>
    <w:p>
      <w:pPr>
        <w:ind w:left="320" w:hanging="312"/>
        <w:spacing w:after="0"/>
        <w:tabs>
          <w:tab w:leader="none" w:pos="32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non-recurring legal fees unrelated to our core operations.</w:t>
      </w:r>
    </w:p>
    <w:p>
      <w:pPr>
        <w:ind w:left="340" w:right="180" w:hanging="332"/>
        <w:spacing w:after="0" w:line="238" w:lineRule="auto"/>
        <w:tabs>
          <w:tab w:leader="none" w:pos="332"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non-cash share-based compensation expense relating to the accelerated vesting of performance-vesting units in connection with the IPO for the twelve months ended December 31, 2020.</w:t>
      </w:r>
    </w:p>
    <w:p>
      <w:pPr>
        <w:ind w:left="320" w:hanging="312"/>
        <w:spacing w:after="0"/>
        <w:tabs>
          <w:tab w:leader="none" w:pos="32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change in fair value of the contingent consideration liability due to the predecessor owners of the Company arising from the Centerbridge Acquisition.</w:t>
      </w:r>
    </w:p>
    <w:p>
      <w:pPr>
        <w:ind w:left="320" w:hanging="312"/>
        <w:spacing w:after="0"/>
        <w:tabs>
          <w:tab w:leader="none" w:pos="32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legal, accounting, consulting, and other indirect costs associated with the Company’s IPO.</w:t>
      </w:r>
    </w:p>
    <w:p>
      <w:pPr>
        <w:ind w:left="320" w:hanging="312"/>
        <w:spacing w:after="0"/>
        <w:tabs>
          <w:tab w:leader="none" w:pos="32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costs associated with the termination of employment.</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789"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The following table summarizes share-based compensation expense by operating function for the periods indicated (unaudited):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9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777"/>
              <w:spacing w:after="0"/>
              <w:rPr>
                <w:sz w:val="20"/>
                <w:szCs w:val="20"/>
                <w:color w:val="auto"/>
              </w:rPr>
            </w:pPr>
            <w:r>
              <w:rPr>
                <w:rFonts w:ascii="Arial" w:cs="Arial" w:eastAsia="Arial" w:hAnsi="Arial"/>
                <w:sz w:val="13"/>
                <w:szCs w:val="13"/>
                <w:b w:val="1"/>
                <w:bCs w:val="1"/>
                <w:color w:val="auto"/>
              </w:rPr>
              <w:t>Successor</w:t>
            </w:r>
          </w:p>
        </w:tc>
        <w:tc>
          <w:tcPr>
            <w:tcW w:w="0" w:type="dxa"/>
            <w:vAlign w:val="bottom"/>
          </w:tcPr>
          <w:p>
            <w:pPr>
              <w:spacing w:after="0"/>
              <w:rPr>
                <w:sz w:val="1"/>
                <w:szCs w:val="1"/>
                <w:color w:val="auto"/>
              </w:rPr>
            </w:pPr>
          </w:p>
        </w:tc>
      </w:tr>
      <w:tr>
        <w:trPr>
          <w:trHeight w:val="270"/>
        </w:trPr>
        <w:tc>
          <w:tcPr>
            <w:tcW w:w="8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Twelve months</w:t>
            </w:r>
          </w:p>
        </w:tc>
        <w:tc>
          <w:tcPr>
            <w:tcW w:w="80" w:type="dxa"/>
            <w:vAlign w:val="bottom"/>
          </w:tcPr>
          <w:p>
            <w:pPr>
              <w:spacing w:after="0"/>
              <w:rPr>
                <w:sz w:val="23"/>
                <w:szCs w:val="23"/>
                <w:color w:val="auto"/>
              </w:rPr>
            </w:pPr>
          </w:p>
        </w:tc>
        <w:tc>
          <w:tcPr>
            <w:tcW w:w="1020" w:type="dxa"/>
            <w:vAlign w:val="bottom"/>
          </w:tcPr>
          <w:p>
            <w:pPr>
              <w:jc w:val="center"/>
              <w:ind w:right="17"/>
              <w:spacing w:after="0"/>
              <w:rPr>
                <w:sz w:val="20"/>
                <w:szCs w:val="20"/>
                <w:color w:val="auto"/>
              </w:rPr>
            </w:pPr>
            <w:r>
              <w:rPr>
                <w:rFonts w:ascii="Arial" w:cs="Arial" w:eastAsia="Arial" w:hAnsi="Arial"/>
                <w:sz w:val="13"/>
                <w:szCs w:val="13"/>
                <w:b w:val="1"/>
                <w:bCs w:val="1"/>
                <w:color w:val="auto"/>
                <w:w w:val="95"/>
              </w:rPr>
              <w:t>Twelve months</w:t>
            </w:r>
          </w:p>
        </w:tc>
        <w:tc>
          <w:tcPr>
            <w:tcW w:w="0" w:type="dxa"/>
            <w:vAlign w:val="bottom"/>
          </w:tcPr>
          <w:p>
            <w:pPr>
              <w:spacing w:after="0"/>
              <w:rPr>
                <w:sz w:val="1"/>
                <w:szCs w:val="1"/>
                <w:color w:val="auto"/>
              </w:rPr>
            </w:pPr>
          </w:p>
        </w:tc>
      </w:tr>
      <w:tr>
        <w:trPr>
          <w:trHeight w:val="122"/>
        </w:trPr>
        <w:tc>
          <w:tcPr>
            <w:tcW w:w="8940" w:type="dxa"/>
            <w:vAlign w:val="bottom"/>
            <w:vMerge w:val="restart"/>
          </w:tcPr>
          <w:p>
            <w:pPr>
              <w:ind w:left="20"/>
              <w:spacing w:after="0"/>
              <w:rPr>
                <w:sz w:val="20"/>
                <w:szCs w:val="20"/>
                <w:color w:val="auto"/>
              </w:rPr>
            </w:pPr>
            <w:r>
              <w:rPr>
                <w:rFonts w:ascii="Arial" w:cs="Arial" w:eastAsia="Arial" w:hAnsi="Arial"/>
                <w:sz w:val="13"/>
                <w:szCs w:val="13"/>
                <w:color w:val="auto"/>
              </w:rPr>
              <w:t>(in thousands)</w:t>
            </w:r>
          </w:p>
        </w:tc>
        <w:tc>
          <w:tcPr>
            <w:tcW w:w="80" w:type="dxa"/>
            <w:vAlign w:val="bottom"/>
          </w:tcPr>
          <w:p>
            <w:pPr>
              <w:spacing w:after="0"/>
              <w:rPr>
                <w:sz w:val="10"/>
                <w:szCs w:val="10"/>
                <w:color w:val="auto"/>
              </w:rPr>
            </w:pPr>
          </w:p>
        </w:tc>
        <w:tc>
          <w:tcPr>
            <w:tcW w:w="112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80" w:type="dxa"/>
            <w:vAlign w:val="bottom"/>
          </w:tcPr>
          <w:p>
            <w:pPr>
              <w:spacing w:after="0"/>
              <w:rPr>
                <w:sz w:val="10"/>
                <w:szCs w:val="10"/>
                <w:color w:val="auto"/>
              </w:rPr>
            </w:pPr>
          </w:p>
        </w:tc>
        <w:tc>
          <w:tcPr>
            <w:tcW w:w="102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0" w:type="dxa"/>
            <w:vAlign w:val="bottom"/>
          </w:tcPr>
          <w:p>
            <w:pPr>
              <w:spacing w:after="0"/>
              <w:rPr>
                <w:sz w:val="1"/>
                <w:szCs w:val="1"/>
                <w:color w:val="auto"/>
              </w:rPr>
            </w:pPr>
          </w:p>
        </w:tc>
      </w:tr>
      <w:tr>
        <w:trPr>
          <w:trHeight w:val="172"/>
        </w:trPr>
        <w:tc>
          <w:tcPr>
            <w:tcW w:w="894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73"/>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Marketing and advertising</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24,890</w:t>
            </w:r>
          </w:p>
        </w:tc>
        <w:tc>
          <w:tcPr>
            <w:tcW w:w="0" w:type="dxa"/>
            <w:vAlign w:val="bottom"/>
          </w:tcPr>
          <w:p>
            <w:pPr>
              <w:spacing w:after="0"/>
              <w:rPr>
                <w:sz w:val="1"/>
                <w:szCs w:val="1"/>
                <w:color w:val="auto"/>
              </w:rPr>
            </w:pPr>
          </w:p>
        </w:tc>
      </w:tr>
      <w:tr>
        <w:trPr>
          <w:trHeight w:val="168"/>
        </w:trPr>
        <w:tc>
          <w:tcPr>
            <w:tcW w:w="8940" w:type="dxa"/>
            <w:vAlign w:val="bottom"/>
          </w:tcPr>
          <w:p>
            <w:pPr>
              <w:ind w:left="20"/>
              <w:spacing w:after="0"/>
              <w:rPr>
                <w:sz w:val="20"/>
                <w:szCs w:val="20"/>
                <w:color w:val="auto"/>
              </w:rPr>
            </w:pPr>
            <w:r>
              <w:rPr>
                <w:rFonts w:ascii="Arial" w:cs="Arial" w:eastAsia="Arial" w:hAnsi="Arial"/>
                <w:sz w:val="13"/>
                <w:szCs w:val="13"/>
                <w:color w:val="auto"/>
              </w:rPr>
              <w:t>Customer care and enrollment</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3,775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12,599</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Technology</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33,085</w:t>
            </w:r>
          </w:p>
        </w:tc>
        <w:tc>
          <w:tcPr>
            <w:tcW w:w="0" w:type="dxa"/>
            <w:vAlign w:val="bottom"/>
          </w:tcPr>
          <w:p>
            <w:pPr>
              <w:spacing w:after="0"/>
              <w:rPr>
                <w:sz w:val="1"/>
                <w:szCs w:val="1"/>
                <w:color w:val="auto"/>
              </w:rPr>
            </w:pPr>
          </w:p>
        </w:tc>
      </w:tr>
      <w:tr>
        <w:trPr>
          <w:trHeight w:val="169"/>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General and administrative</w:t>
            </w: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17,639</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145,655</w:t>
            </w:r>
          </w:p>
        </w:tc>
        <w:tc>
          <w:tcPr>
            <w:tcW w:w="0" w:type="dxa"/>
            <w:vAlign w:val="bottom"/>
          </w:tcPr>
          <w:p>
            <w:pPr>
              <w:spacing w:after="0"/>
              <w:rPr>
                <w:sz w:val="1"/>
                <w:szCs w:val="1"/>
                <w:color w:val="auto"/>
              </w:rPr>
            </w:pPr>
          </w:p>
        </w:tc>
      </w:tr>
      <w:tr>
        <w:trPr>
          <w:trHeight w:val="200"/>
        </w:trPr>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share-based compensation expense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27,297</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216,229</w:t>
            </w:r>
          </w:p>
        </w:tc>
        <w:tc>
          <w:tcPr>
            <w:tcW w:w="0" w:type="dxa"/>
            <w:vAlign w:val="bottom"/>
          </w:tcPr>
          <w:p>
            <w:pPr>
              <w:spacing w:after="0"/>
              <w:rPr>
                <w:sz w:val="1"/>
                <w:szCs w:val="1"/>
                <w:color w:val="auto"/>
              </w:rPr>
            </w:pP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our balance sheets for the periods indicated (unaudited):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 thousands, except per share amounts)</w:t>
            </w:r>
          </w:p>
        </w:tc>
        <w:tc>
          <w:tcPr>
            <w:tcW w:w="1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7"/>
              </w:rPr>
              <w:t>Dec. 31, 2021</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7"/>
              </w:rPr>
              <w:t>Dec. 31, 2020</w:t>
            </w:r>
          </w:p>
        </w:tc>
        <w:tc>
          <w:tcPr>
            <w:tcW w:w="0" w:type="dxa"/>
            <w:vAlign w:val="bottom"/>
          </w:tcPr>
          <w:p>
            <w:pPr>
              <w:spacing w:after="0"/>
              <w:rPr>
                <w:sz w:val="1"/>
                <w:szCs w:val="1"/>
                <w:color w:val="auto"/>
              </w:rPr>
            </w:pPr>
          </w:p>
        </w:tc>
      </w:tr>
      <w:tr>
        <w:trPr>
          <w:trHeight w:val="159"/>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940" w:type="dxa"/>
            <w:vAlign w:val="bottom"/>
          </w:tcPr>
          <w:p>
            <w:pPr>
              <w:ind w:left="20"/>
              <w:spacing w:after="0"/>
              <w:rPr>
                <w:sz w:val="20"/>
                <w:szCs w:val="20"/>
                <w:color w:val="auto"/>
              </w:rPr>
            </w:pPr>
            <w:r>
              <w:rPr>
                <w:rFonts w:ascii="Arial" w:cs="Arial" w:eastAsia="Arial" w:hAnsi="Arial"/>
                <w:sz w:val="13"/>
                <w:szCs w:val="13"/>
                <w:i w:val="1"/>
                <w:iCs w:val="1"/>
                <w:color w:val="auto"/>
              </w:rPr>
              <w:t>Current assets:</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84,361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144,234</w:t>
            </w:r>
          </w:p>
        </w:tc>
        <w:tc>
          <w:tcPr>
            <w:tcW w:w="0" w:type="dxa"/>
            <w:vAlign w:val="bottom"/>
          </w:tcPr>
          <w:p>
            <w:pPr>
              <w:spacing w:after="0"/>
              <w:rPr>
                <w:sz w:val="1"/>
                <w:szCs w:val="1"/>
                <w:color w:val="auto"/>
              </w:rPr>
            </w:pPr>
          </w:p>
        </w:tc>
      </w:tr>
      <w:tr>
        <w:trPr>
          <w:trHeight w:val="168"/>
        </w:trPr>
        <w:tc>
          <w:tcPr>
            <w:tcW w:w="8940" w:type="dxa"/>
            <w:vAlign w:val="bottom"/>
          </w:tcPr>
          <w:p>
            <w:pPr>
              <w:ind w:left="240"/>
              <w:spacing w:after="0"/>
              <w:rPr>
                <w:sz w:val="20"/>
                <w:szCs w:val="20"/>
                <w:color w:val="auto"/>
              </w:rPr>
            </w:pPr>
            <w:r>
              <w:rPr>
                <w:rFonts w:ascii="Arial" w:cs="Arial" w:eastAsia="Arial" w:hAnsi="Arial"/>
                <w:sz w:val="13"/>
                <w:szCs w:val="13"/>
                <w:color w:val="auto"/>
              </w:rPr>
              <w:t>Accounts receivable, net of allowance for doubtful accounts of $558 in 2021 and $787 in 2020</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17,276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14,211</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Receivable from NVX Holdings, Inc.</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3,395</w:t>
            </w:r>
          </w:p>
        </w:tc>
        <w:tc>
          <w:tcPr>
            <w:tcW w:w="0" w:type="dxa"/>
            <w:vAlign w:val="bottom"/>
          </w:tcPr>
          <w:p>
            <w:pPr>
              <w:spacing w:after="0"/>
              <w:rPr>
                <w:sz w:val="1"/>
                <w:szCs w:val="1"/>
                <w:color w:val="auto"/>
              </w:rPr>
            </w:pPr>
          </w:p>
        </w:tc>
      </w:tr>
      <w:tr>
        <w:trPr>
          <w:trHeight w:val="167"/>
        </w:trPr>
        <w:tc>
          <w:tcPr>
            <w:tcW w:w="8940" w:type="dxa"/>
            <w:vAlign w:val="bottom"/>
          </w:tcPr>
          <w:p>
            <w:pPr>
              <w:ind w:left="240"/>
              <w:spacing w:after="0"/>
              <w:rPr>
                <w:sz w:val="20"/>
                <w:szCs w:val="20"/>
                <w:color w:val="auto"/>
              </w:rPr>
            </w:pPr>
            <w:r>
              <w:rPr>
                <w:rFonts w:ascii="Arial" w:cs="Arial" w:eastAsia="Arial" w:hAnsi="Arial"/>
                <w:sz w:val="13"/>
                <w:szCs w:val="13"/>
                <w:color w:val="auto"/>
              </w:rPr>
              <w:t>Commissions receivable - current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268,663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188,128</w:t>
            </w:r>
          </w:p>
        </w:tc>
        <w:tc>
          <w:tcPr>
            <w:tcW w:w="0" w:type="dxa"/>
            <w:vAlign w:val="bottom"/>
          </w:tcPr>
          <w:p>
            <w:pPr>
              <w:spacing w:after="0"/>
              <w:rPr>
                <w:sz w:val="1"/>
                <w:szCs w:val="1"/>
                <w:color w:val="auto"/>
              </w:rPr>
            </w:pPr>
          </w:p>
        </w:tc>
      </w:tr>
      <w:tr>
        <w:trPr>
          <w:trHeight w:val="184"/>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Prepaid expense and other current assets</w:t>
            </w:r>
          </w:p>
        </w:tc>
        <w:tc>
          <w:tcPr>
            <w:tcW w:w="1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58,695</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41,854</w:t>
            </w:r>
          </w:p>
        </w:tc>
        <w:tc>
          <w:tcPr>
            <w:tcW w:w="0" w:type="dxa"/>
            <w:vAlign w:val="bottom"/>
          </w:tcPr>
          <w:p>
            <w:pPr>
              <w:spacing w:after="0"/>
              <w:rPr>
                <w:sz w:val="1"/>
                <w:szCs w:val="1"/>
                <w:color w:val="auto"/>
              </w:rPr>
            </w:pPr>
          </w:p>
        </w:tc>
      </w:tr>
      <w:tr>
        <w:trPr>
          <w:trHeight w:val="163"/>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current assets</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428,995</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391,822</w:t>
            </w:r>
          </w:p>
        </w:tc>
        <w:tc>
          <w:tcPr>
            <w:tcW w:w="0" w:type="dxa"/>
            <w:vAlign w:val="bottom"/>
          </w:tcPr>
          <w:p>
            <w:pPr>
              <w:spacing w:after="0"/>
              <w:rPr>
                <w:sz w:val="1"/>
                <w:szCs w:val="1"/>
                <w:color w:val="auto"/>
              </w:rPr>
            </w:pPr>
          </w:p>
        </w:tc>
      </w:tr>
      <w:tr>
        <w:trPr>
          <w:trHeight w:val="175"/>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Commissions receivable - non-current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993,844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622,270</w:t>
            </w:r>
          </w:p>
        </w:tc>
        <w:tc>
          <w:tcPr>
            <w:tcW w:w="0" w:type="dxa"/>
            <w:vAlign w:val="bottom"/>
          </w:tcPr>
          <w:p>
            <w:pPr>
              <w:spacing w:after="0"/>
              <w:rPr>
                <w:sz w:val="1"/>
                <w:szCs w:val="1"/>
                <w:color w:val="auto"/>
              </w:rPr>
            </w:pPr>
          </w:p>
        </w:tc>
      </w:tr>
      <w:tr>
        <w:trPr>
          <w:trHeight w:val="168"/>
        </w:trPr>
        <w:tc>
          <w:tcPr>
            <w:tcW w:w="8940" w:type="dxa"/>
            <w:vAlign w:val="bottom"/>
          </w:tcPr>
          <w:p>
            <w:pPr>
              <w:ind w:left="20"/>
              <w:spacing w:after="0"/>
              <w:rPr>
                <w:sz w:val="20"/>
                <w:szCs w:val="20"/>
                <w:color w:val="auto"/>
              </w:rPr>
            </w:pPr>
            <w:r>
              <w:rPr>
                <w:rFonts w:ascii="Arial" w:cs="Arial" w:eastAsia="Arial" w:hAnsi="Arial"/>
                <w:sz w:val="13"/>
                <w:szCs w:val="13"/>
                <w:color w:val="auto"/>
              </w:rPr>
              <w:t>Operating Lease ROU Asset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23,462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long-term assets</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2,072</w:t>
            </w:r>
          </w:p>
        </w:tc>
        <w:tc>
          <w:tcPr>
            <w:tcW w:w="0" w:type="dxa"/>
            <w:vAlign w:val="bottom"/>
          </w:tcPr>
          <w:p>
            <w:pPr>
              <w:spacing w:after="0"/>
              <w:rPr>
                <w:sz w:val="1"/>
                <w:szCs w:val="1"/>
                <w:color w:val="auto"/>
              </w:rPr>
            </w:pPr>
          </w:p>
        </w:tc>
      </w:tr>
      <w:tr>
        <w:trPr>
          <w:trHeight w:val="168"/>
        </w:trPr>
        <w:tc>
          <w:tcPr>
            <w:tcW w:w="8940" w:type="dxa"/>
            <w:vAlign w:val="bottom"/>
          </w:tcPr>
          <w:p>
            <w:pPr>
              <w:ind w:left="20"/>
              <w:spacing w:after="0"/>
              <w:rPr>
                <w:sz w:val="20"/>
                <w:szCs w:val="20"/>
                <w:color w:val="auto"/>
              </w:rPr>
            </w:pPr>
            <w:r>
              <w:rPr>
                <w:rFonts w:ascii="Arial" w:cs="Arial" w:eastAsia="Arial" w:hAnsi="Arial"/>
                <w:sz w:val="13"/>
                <w:szCs w:val="13"/>
                <w:color w:val="auto"/>
              </w:rPr>
              <w:t>Property, equipment, and capitalized software, net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24,273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17,353</w:t>
            </w:r>
          </w:p>
        </w:tc>
        <w:tc>
          <w:tcPr>
            <w:tcW w:w="0" w:type="dxa"/>
            <w:vAlign w:val="bottom"/>
          </w:tcPr>
          <w:p>
            <w:pPr>
              <w:spacing w:after="0"/>
              <w:rPr>
                <w:sz w:val="1"/>
                <w:szCs w:val="1"/>
                <w:color w:val="auto"/>
              </w:rPr>
            </w:pPr>
          </w:p>
        </w:tc>
      </w:tr>
      <w:tr>
        <w:trPr>
          <w:trHeight w:val="184"/>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Intangible assets, net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594,669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688,726</w:t>
            </w:r>
          </w:p>
        </w:tc>
        <w:tc>
          <w:tcPr>
            <w:tcW w:w="0" w:type="dxa"/>
            <w:vAlign w:val="bottom"/>
          </w:tcPr>
          <w:p>
            <w:pPr>
              <w:spacing w:after="0"/>
              <w:rPr>
                <w:sz w:val="1"/>
                <w:szCs w:val="1"/>
                <w:color w:val="auto"/>
              </w:rPr>
            </w:pPr>
          </w:p>
        </w:tc>
      </w:tr>
      <w:tr>
        <w:trPr>
          <w:trHeight w:val="169"/>
        </w:trPr>
        <w:tc>
          <w:tcPr>
            <w:tcW w:w="8940" w:type="dxa"/>
            <w:vAlign w:val="bottom"/>
          </w:tcPr>
          <w:p>
            <w:pPr>
              <w:ind w:left="20"/>
              <w:spacing w:after="0"/>
              <w:rPr>
                <w:sz w:val="20"/>
                <w:szCs w:val="20"/>
                <w:color w:val="auto"/>
              </w:rPr>
            </w:pPr>
            <w:r>
              <w:rPr>
                <w:rFonts w:ascii="Arial" w:cs="Arial" w:eastAsia="Arial" w:hAnsi="Arial"/>
                <w:sz w:val="13"/>
                <w:szCs w:val="13"/>
                <w:color w:val="auto"/>
              </w:rPr>
              <w:t>Goodwill</w:t>
            </w: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386,553</w:t>
            </w:r>
          </w:p>
        </w:tc>
        <w:tc>
          <w:tcPr>
            <w:tcW w:w="0" w:type="dxa"/>
            <w:vAlign w:val="bottom"/>
          </w:tcPr>
          <w:p>
            <w:pPr>
              <w:spacing w:after="0"/>
              <w:rPr>
                <w:sz w:val="1"/>
                <w:szCs w:val="1"/>
                <w:color w:val="auto"/>
              </w:rPr>
            </w:pPr>
          </w:p>
        </w:tc>
      </w:tr>
      <w:tr>
        <w:trPr>
          <w:trHeight w:val="201"/>
        </w:trPr>
        <w:tc>
          <w:tcPr>
            <w:tcW w:w="8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2,068,851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2,108,796</w:t>
            </w:r>
          </w:p>
        </w:tc>
        <w:tc>
          <w:tcPr>
            <w:tcW w:w="0" w:type="dxa"/>
            <w:vAlign w:val="bottom"/>
          </w:tcPr>
          <w:p>
            <w:pPr>
              <w:spacing w:after="0"/>
              <w:rPr>
                <w:sz w:val="1"/>
                <w:szCs w:val="1"/>
                <w:color w:val="auto"/>
              </w:rPr>
            </w:pPr>
          </w:p>
        </w:tc>
      </w:tr>
      <w:tr>
        <w:trPr>
          <w:trHeight w:val="20"/>
        </w:trPr>
        <w:tc>
          <w:tcPr>
            <w:tcW w:w="8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Liabilities and Stockholders’ Equity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89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Current liabilities:</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940" w:type="dxa"/>
            <w:vAlign w:val="bottom"/>
          </w:tcPr>
          <w:p>
            <w:pPr>
              <w:ind w:left="240"/>
              <w:spacing w:after="0"/>
              <w:rPr>
                <w:sz w:val="20"/>
                <w:szCs w:val="20"/>
                <w:color w:val="auto"/>
              </w:rPr>
            </w:pPr>
            <w:r>
              <w:rPr>
                <w:rFonts w:ascii="Arial" w:cs="Arial" w:eastAsia="Arial" w:hAnsi="Arial"/>
                <w:sz w:val="13"/>
                <w:szCs w:val="13"/>
                <w:color w:val="auto"/>
              </w:rPr>
              <w:t>Accounts payable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39,843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8,733</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Accrued liabilities</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52,788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26,926</w:t>
            </w:r>
          </w:p>
        </w:tc>
        <w:tc>
          <w:tcPr>
            <w:tcW w:w="0" w:type="dxa"/>
            <w:vAlign w:val="bottom"/>
          </w:tcPr>
          <w:p>
            <w:pPr>
              <w:spacing w:after="0"/>
              <w:rPr>
                <w:sz w:val="1"/>
                <w:szCs w:val="1"/>
                <w:color w:val="auto"/>
              </w:rPr>
            </w:pPr>
          </w:p>
        </w:tc>
      </w:tr>
      <w:tr>
        <w:trPr>
          <w:trHeight w:val="168"/>
        </w:trPr>
        <w:tc>
          <w:tcPr>
            <w:tcW w:w="8940" w:type="dxa"/>
            <w:vAlign w:val="bottom"/>
          </w:tcPr>
          <w:p>
            <w:pPr>
              <w:ind w:left="240"/>
              <w:spacing w:after="0"/>
              <w:rPr>
                <w:sz w:val="20"/>
                <w:szCs w:val="20"/>
                <w:color w:val="auto"/>
              </w:rPr>
            </w:pPr>
            <w:r>
              <w:rPr>
                <w:rFonts w:ascii="Arial" w:cs="Arial" w:eastAsia="Arial" w:hAnsi="Arial"/>
                <w:sz w:val="13"/>
                <w:szCs w:val="13"/>
                <w:color w:val="auto"/>
              </w:rPr>
              <w:t>Commissions payable - current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104,160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78,478</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Short-term operating lease liability</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940" w:type="dxa"/>
            <w:vAlign w:val="bottom"/>
          </w:tcPr>
          <w:p>
            <w:pPr>
              <w:ind w:left="240"/>
              <w:spacing w:after="0"/>
              <w:rPr>
                <w:sz w:val="20"/>
                <w:szCs w:val="20"/>
                <w:color w:val="auto"/>
              </w:rPr>
            </w:pPr>
            <w:r>
              <w:rPr>
                <w:rFonts w:ascii="Arial" w:cs="Arial" w:eastAsia="Arial" w:hAnsi="Arial"/>
                <w:sz w:val="13"/>
                <w:szCs w:val="13"/>
                <w:color w:val="auto"/>
              </w:rPr>
              <w:t>Deferred revenue</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536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736</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Current portion of long-term debt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4,170</w:t>
            </w:r>
          </w:p>
        </w:tc>
        <w:tc>
          <w:tcPr>
            <w:tcW w:w="0" w:type="dxa"/>
            <w:vAlign w:val="bottom"/>
          </w:tcPr>
          <w:p>
            <w:pPr>
              <w:spacing w:after="0"/>
              <w:rPr>
                <w:sz w:val="1"/>
                <w:szCs w:val="1"/>
                <w:color w:val="auto"/>
              </w:rPr>
            </w:pPr>
          </w:p>
        </w:tc>
      </w:tr>
      <w:tr>
        <w:trPr>
          <w:trHeight w:val="169"/>
        </w:trPr>
        <w:tc>
          <w:tcPr>
            <w:tcW w:w="894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Other current liabilities</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8,344</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8,328</w:t>
            </w:r>
          </w:p>
        </w:tc>
        <w:tc>
          <w:tcPr>
            <w:tcW w:w="0" w:type="dxa"/>
            <w:vAlign w:val="bottom"/>
          </w:tcPr>
          <w:p>
            <w:pPr>
              <w:spacing w:after="0"/>
              <w:rPr>
                <w:sz w:val="1"/>
                <w:szCs w:val="1"/>
                <w:color w:val="auto"/>
              </w:rPr>
            </w:pPr>
          </w:p>
        </w:tc>
      </w:tr>
      <w:tr>
        <w:trPr>
          <w:trHeight w:val="175"/>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current liabilities</w:t>
            </w:r>
          </w:p>
        </w:tc>
        <w:tc>
          <w:tcPr>
            <w:tcW w:w="1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217,067</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127,371</w:t>
            </w:r>
          </w:p>
        </w:tc>
        <w:tc>
          <w:tcPr>
            <w:tcW w:w="0" w:type="dxa"/>
            <w:vAlign w:val="bottom"/>
          </w:tcPr>
          <w:p>
            <w:pPr>
              <w:spacing w:after="0"/>
              <w:rPr>
                <w:sz w:val="1"/>
                <w:szCs w:val="1"/>
                <w:color w:val="auto"/>
              </w:rPr>
            </w:pPr>
          </w:p>
        </w:tc>
      </w:tr>
      <w:tr>
        <w:trPr>
          <w:trHeight w:val="150"/>
        </w:trPr>
        <w:tc>
          <w:tcPr>
            <w:tcW w:w="8940" w:type="dxa"/>
            <w:vAlign w:val="bottom"/>
          </w:tcPr>
          <w:p>
            <w:pPr>
              <w:ind w:left="20"/>
              <w:spacing w:after="0" w:line="144" w:lineRule="exact"/>
              <w:rPr>
                <w:sz w:val="20"/>
                <w:szCs w:val="20"/>
                <w:color w:val="auto"/>
              </w:rPr>
            </w:pPr>
            <w:r>
              <w:rPr>
                <w:rFonts w:ascii="Arial" w:cs="Arial" w:eastAsia="Arial" w:hAnsi="Arial"/>
                <w:sz w:val="13"/>
                <w:szCs w:val="13"/>
                <w:i w:val="1"/>
                <w:iCs w:val="1"/>
                <w:color w:val="auto"/>
              </w:rPr>
              <w:t>Non-current liabilities:</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Commissions payable - non-current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274,403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182,596</w:t>
            </w:r>
          </w:p>
        </w:tc>
        <w:tc>
          <w:tcPr>
            <w:tcW w:w="0" w:type="dxa"/>
            <w:vAlign w:val="bottom"/>
          </w:tcPr>
          <w:p>
            <w:pPr>
              <w:spacing w:after="0"/>
              <w:rPr>
                <w:sz w:val="1"/>
                <w:szCs w:val="1"/>
                <w:color w:val="auto"/>
              </w:rPr>
            </w:pPr>
          </w:p>
        </w:tc>
      </w:tr>
      <w:tr>
        <w:trPr>
          <w:trHeight w:val="168"/>
        </w:trPr>
        <w:tc>
          <w:tcPr>
            <w:tcW w:w="8940" w:type="dxa"/>
            <w:vAlign w:val="bottom"/>
          </w:tcPr>
          <w:p>
            <w:pPr>
              <w:ind w:left="240"/>
              <w:spacing w:after="0"/>
              <w:rPr>
                <w:sz w:val="20"/>
                <w:szCs w:val="20"/>
                <w:color w:val="auto"/>
              </w:rPr>
            </w:pPr>
            <w:r>
              <w:rPr>
                <w:rFonts w:ascii="Arial" w:cs="Arial" w:eastAsia="Arial" w:hAnsi="Arial"/>
                <w:sz w:val="13"/>
                <w:szCs w:val="13"/>
                <w:color w:val="auto"/>
              </w:rPr>
              <w:t>Long-term operating lease liability</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19,776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4"/>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Long-term debt, net of current portion</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665,115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396,400</w:t>
            </w:r>
          </w:p>
        </w:tc>
        <w:tc>
          <w:tcPr>
            <w:tcW w:w="0" w:type="dxa"/>
            <w:vAlign w:val="bottom"/>
          </w:tcPr>
          <w:p>
            <w:pPr>
              <w:spacing w:after="0"/>
              <w:rPr>
                <w:sz w:val="1"/>
                <w:szCs w:val="1"/>
                <w:color w:val="auto"/>
              </w:rPr>
            </w:pPr>
          </w:p>
        </w:tc>
      </w:tr>
      <w:tr>
        <w:trPr>
          <w:trHeight w:val="169"/>
        </w:trPr>
        <w:tc>
          <w:tcPr>
            <w:tcW w:w="8940" w:type="dxa"/>
            <w:vAlign w:val="bottom"/>
          </w:tcPr>
          <w:p>
            <w:pPr>
              <w:ind w:left="240"/>
              <w:spacing w:after="0"/>
              <w:rPr>
                <w:sz w:val="20"/>
                <w:szCs w:val="20"/>
                <w:color w:val="auto"/>
              </w:rPr>
            </w:pPr>
            <w:r>
              <w:rPr>
                <w:rFonts w:ascii="Arial" w:cs="Arial" w:eastAsia="Arial" w:hAnsi="Arial"/>
                <w:sz w:val="13"/>
                <w:szCs w:val="13"/>
                <w:color w:val="auto"/>
              </w:rPr>
              <w:t>Other non-current liabilities</w:t>
            </w: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3,274</w:t>
            </w:r>
          </w:p>
        </w:tc>
        <w:tc>
          <w:tcPr>
            <w:tcW w:w="0" w:type="dxa"/>
            <w:vAlign w:val="bottom"/>
          </w:tcPr>
          <w:p>
            <w:pPr>
              <w:spacing w:after="0"/>
              <w:rPr>
                <w:sz w:val="1"/>
                <w:szCs w:val="1"/>
                <w:color w:val="auto"/>
              </w:rPr>
            </w:pPr>
          </w:p>
        </w:tc>
      </w:tr>
      <w:tr>
        <w:trPr>
          <w:trHeight w:val="175"/>
        </w:trPr>
        <w:tc>
          <w:tcPr>
            <w:tcW w:w="8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non-current liabilities</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959,294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582,270</w:t>
            </w:r>
          </w:p>
        </w:tc>
        <w:tc>
          <w:tcPr>
            <w:tcW w:w="0" w:type="dxa"/>
            <w:vAlign w:val="bottom"/>
          </w:tcPr>
          <w:p>
            <w:pPr>
              <w:spacing w:after="0"/>
              <w:rPr>
                <w:sz w:val="1"/>
                <w:szCs w:val="1"/>
                <w:color w:val="auto"/>
              </w:rPr>
            </w:pPr>
          </w:p>
        </w:tc>
      </w:tr>
      <w:tr>
        <w:trPr>
          <w:trHeight w:val="150"/>
        </w:trPr>
        <w:tc>
          <w:tcPr>
            <w:tcW w:w="8940" w:type="dxa"/>
            <w:vAlign w:val="bottom"/>
          </w:tcPr>
          <w:p>
            <w:pPr>
              <w:ind w:left="20"/>
              <w:spacing w:after="0" w:line="144" w:lineRule="exact"/>
              <w:rPr>
                <w:sz w:val="20"/>
                <w:szCs w:val="20"/>
                <w:color w:val="auto"/>
              </w:rPr>
            </w:pPr>
            <w:r>
              <w:rPr>
                <w:rFonts w:ascii="Arial" w:cs="Arial" w:eastAsia="Arial" w:hAnsi="Arial"/>
                <w:sz w:val="13"/>
                <w:szCs w:val="13"/>
                <w:i w:val="1"/>
                <w:iCs w:val="1"/>
                <w:color w:val="auto"/>
              </w:rPr>
              <w:t>Stockholders’ equity:</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9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w w:val="98"/>
              </w:rPr>
              <w:t>Class A common stock – $0.0001 par value; 1,100,000 shares authorized; 115,487 and 84,196 shares issued and outstanding at December 31, 2021 and</w:t>
            </w: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68"/>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December 31, 2020, respectively.</w:t>
            </w:r>
          </w:p>
        </w:tc>
        <w:tc>
          <w:tcPr>
            <w:tcW w:w="12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940" w:type="dxa"/>
            <w:vAlign w:val="bottom"/>
          </w:tcPr>
          <w:p>
            <w:pPr>
              <w:ind w:left="240"/>
              <w:spacing w:after="0" w:line="129" w:lineRule="exact"/>
              <w:rPr>
                <w:sz w:val="20"/>
                <w:szCs w:val="20"/>
                <w:color w:val="auto"/>
              </w:rPr>
            </w:pPr>
            <w:r>
              <w:rPr>
                <w:rFonts w:ascii="Arial" w:cs="Arial" w:eastAsia="Arial" w:hAnsi="Arial"/>
                <w:sz w:val="13"/>
                <w:szCs w:val="13"/>
                <w:color w:val="auto"/>
                <w:w w:val="99"/>
              </w:rPr>
              <w:t>Class B common stock – $0.0001 par value; 587,360 and 619,004 shares authorized; 205,352 and 236,997 shares issued and outstanding at December</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60"/>
        </w:trPr>
        <w:tc>
          <w:tcPr>
            <w:tcW w:w="8940" w:type="dxa"/>
            <w:vAlign w:val="bottom"/>
          </w:tcPr>
          <w:p>
            <w:pPr>
              <w:ind w:left="240"/>
              <w:spacing w:after="0"/>
              <w:rPr>
                <w:sz w:val="20"/>
                <w:szCs w:val="20"/>
                <w:color w:val="auto"/>
              </w:rPr>
            </w:pPr>
            <w:r>
              <w:rPr>
                <w:rFonts w:ascii="Arial" w:cs="Arial" w:eastAsia="Arial" w:hAnsi="Arial"/>
                <w:sz w:val="13"/>
                <w:szCs w:val="13"/>
                <w:color w:val="auto"/>
              </w:rPr>
              <w:t>31, 2021 and December 31, 2020, respectively.</w:t>
            </w:r>
          </w:p>
        </w:tc>
        <w:tc>
          <w:tcPr>
            <w:tcW w:w="1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Preferred stock – $0.0001 par value; 20,000 shares authorized; no shares issued and outstanding at December 31, 2021 and December 31, 2020</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940" w:type="dxa"/>
            <w:vAlign w:val="bottom"/>
          </w:tcPr>
          <w:p>
            <w:pPr>
              <w:ind w:left="240"/>
              <w:spacing w:after="0"/>
              <w:rPr>
                <w:sz w:val="20"/>
                <w:szCs w:val="20"/>
                <w:color w:val="auto"/>
              </w:rPr>
            </w:pPr>
            <w:r>
              <w:rPr>
                <w:rFonts w:ascii="Arial" w:cs="Arial" w:eastAsia="Arial" w:hAnsi="Arial"/>
                <w:sz w:val="13"/>
                <w:szCs w:val="13"/>
                <w:color w:val="auto"/>
              </w:rPr>
              <w:t>Additional paid-in capital</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561,447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399,169</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Accumulated other comprehensive income (loss)</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69"/>
        </w:trPr>
        <w:tc>
          <w:tcPr>
            <w:tcW w:w="894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Accumulated deficit</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(208,317)</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(18,802)</w:t>
            </w:r>
          </w:p>
        </w:tc>
        <w:tc>
          <w:tcPr>
            <w:tcW w:w="0" w:type="dxa"/>
            <w:vAlign w:val="bottom"/>
          </w:tcPr>
          <w:p>
            <w:pPr>
              <w:spacing w:after="0"/>
              <w:rPr>
                <w:sz w:val="1"/>
                <w:szCs w:val="1"/>
                <w:color w:val="auto"/>
              </w:rPr>
            </w:pPr>
          </w:p>
        </w:tc>
      </w:tr>
      <w:tr>
        <w:trPr>
          <w:trHeight w:val="175"/>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stockholders’ equity attributable to GoHealth, Inc.</w:t>
            </w:r>
          </w:p>
        </w:tc>
        <w:tc>
          <w:tcPr>
            <w:tcW w:w="1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353,103</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380,416</w:t>
            </w:r>
          </w:p>
        </w:tc>
        <w:tc>
          <w:tcPr>
            <w:tcW w:w="0" w:type="dxa"/>
            <w:vAlign w:val="bottom"/>
          </w:tcPr>
          <w:p>
            <w:pPr>
              <w:spacing w:after="0"/>
              <w:rPr>
                <w:sz w:val="1"/>
                <w:szCs w:val="1"/>
                <w:color w:val="auto"/>
              </w:rPr>
            </w:pPr>
          </w:p>
        </w:tc>
      </w:tr>
      <w:tr>
        <w:trPr>
          <w:trHeight w:val="163"/>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Non-controlling interests</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539,387</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1,018,739</w:t>
            </w:r>
          </w:p>
        </w:tc>
        <w:tc>
          <w:tcPr>
            <w:tcW w:w="0" w:type="dxa"/>
            <w:vAlign w:val="bottom"/>
          </w:tcPr>
          <w:p>
            <w:pPr>
              <w:spacing w:after="0"/>
              <w:rPr>
                <w:sz w:val="1"/>
                <w:szCs w:val="1"/>
                <w:color w:val="auto"/>
              </w:rPr>
            </w:pPr>
          </w:p>
        </w:tc>
      </w:tr>
      <w:tr>
        <w:trPr>
          <w:trHeight w:val="169"/>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stockholders’ equity</w:t>
            </w:r>
          </w:p>
        </w:tc>
        <w:tc>
          <w:tcPr>
            <w:tcW w:w="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892,490</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1,399,155</w:t>
            </w:r>
          </w:p>
        </w:tc>
        <w:tc>
          <w:tcPr>
            <w:tcW w:w="0" w:type="dxa"/>
            <w:vAlign w:val="bottom"/>
          </w:tcPr>
          <w:p>
            <w:pPr>
              <w:spacing w:after="0"/>
              <w:rPr>
                <w:sz w:val="1"/>
                <w:szCs w:val="1"/>
                <w:color w:val="auto"/>
              </w:rPr>
            </w:pPr>
          </w:p>
        </w:tc>
      </w:tr>
      <w:tr>
        <w:trPr>
          <w:trHeight w:val="175"/>
        </w:trPr>
        <w:tc>
          <w:tcPr>
            <w:tcW w:w="8940" w:type="dxa"/>
            <w:vAlign w:val="bottom"/>
          </w:tcPr>
          <w:p>
            <w:pPr>
              <w:ind w:left="20"/>
              <w:spacing w:after="0"/>
              <w:rPr>
                <w:sz w:val="20"/>
                <w:szCs w:val="20"/>
                <w:color w:val="auto"/>
              </w:rPr>
            </w:pPr>
            <w:r>
              <w:rPr>
                <w:rFonts w:ascii="Arial" w:cs="Arial" w:eastAsia="Arial" w:hAnsi="Arial"/>
                <w:sz w:val="13"/>
                <w:szCs w:val="13"/>
                <w:b w:val="1"/>
                <w:bCs w:val="1"/>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2,068,851</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2,108,796</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897"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The following table sets forth our statements of cash flows for the periods indicated (unaudited):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Twelve months</w:t>
            </w:r>
          </w:p>
        </w:tc>
        <w:tc>
          <w:tcPr>
            <w:tcW w:w="80" w:type="dxa"/>
            <w:vAlign w:val="bottom"/>
          </w:tcPr>
          <w:p>
            <w:pPr>
              <w:spacing w:after="0"/>
              <w:rPr>
                <w:sz w:val="13"/>
                <w:szCs w:val="13"/>
                <w:color w:val="auto"/>
              </w:rPr>
            </w:pPr>
          </w:p>
        </w:tc>
        <w:tc>
          <w:tcPr>
            <w:tcW w:w="1020" w:type="dxa"/>
            <w:vAlign w:val="bottom"/>
          </w:tcPr>
          <w:p>
            <w:pPr>
              <w:jc w:val="center"/>
              <w:ind w:right="17"/>
              <w:spacing w:after="0"/>
              <w:rPr>
                <w:sz w:val="20"/>
                <w:szCs w:val="20"/>
                <w:color w:val="auto"/>
              </w:rPr>
            </w:pPr>
            <w:r>
              <w:rPr>
                <w:rFonts w:ascii="Arial" w:cs="Arial" w:eastAsia="Arial" w:hAnsi="Arial"/>
                <w:sz w:val="13"/>
                <w:szCs w:val="13"/>
                <w:b w:val="1"/>
                <w:bCs w:val="1"/>
                <w:color w:val="auto"/>
                <w:w w:val="95"/>
              </w:rPr>
              <w:t>Twelve months</w:t>
            </w:r>
          </w:p>
        </w:tc>
        <w:tc>
          <w:tcPr>
            <w:tcW w:w="0" w:type="dxa"/>
            <w:vAlign w:val="bottom"/>
          </w:tcPr>
          <w:p>
            <w:pPr>
              <w:spacing w:after="0"/>
              <w:rPr>
                <w:sz w:val="1"/>
                <w:szCs w:val="1"/>
                <w:color w:val="auto"/>
              </w:rPr>
            </w:pPr>
          </w:p>
        </w:tc>
      </w:tr>
      <w:tr>
        <w:trPr>
          <w:trHeight w:val="122"/>
        </w:trPr>
        <w:tc>
          <w:tcPr>
            <w:tcW w:w="8940" w:type="dxa"/>
            <w:vAlign w:val="bottom"/>
            <w:vMerge w:val="restart"/>
          </w:tcPr>
          <w:p>
            <w:pPr>
              <w:ind w:left="20"/>
              <w:spacing w:after="0"/>
              <w:rPr>
                <w:sz w:val="20"/>
                <w:szCs w:val="20"/>
                <w:color w:val="auto"/>
              </w:rPr>
            </w:pPr>
            <w:r>
              <w:rPr>
                <w:rFonts w:ascii="Arial" w:cs="Arial" w:eastAsia="Arial" w:hAnsi="Arial"/>
                <w:sz w:val="13"/>
                <w:szCs w:val="13"/>
                <w:color w:val="auto"/>
              </w:rPr>
              <w:t>(in thousands)</w:t>
            </w:r>
          </w:p>
        </w:tc>
        <w:tc>
          <w:tcPr>
            <w:tcW w:w="80" w:type="dxa"/>
            <w:vAlign w:val="bottom"/>
          </w:tcPr>
          <w:p>
            <w:pPr>
              <w:spacing w:after="0"/>
              <w:rPr>
                <w:sz w:val="10"/>
                <w:szCs w:val="10"/>
                <w:color w:val="auto"/>
              </w:rPr>
            </w:pPr>
          </w:p>
        </w:tc>
        <w:tc>
          <w:tcPr>
            <w:tcW w:w="112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80" w:type="dxa"/>
            <w:vAlign w:val="bottom"/>
          </w:tcPr>
          <w:p>
            <w:pPr>
              <w:spacing w:after="0"/>
              <w:rPr>
                <w:sz w:val="10"/>
                <w:szCs w:val="10"/>
                <w:color w:val="auto"/>
              </w:rPr>
            </w:pPr>
          </w:p>
        </w:tc>
        <w:tc>
          <w:tcPr>
            <w:tcW w:w="102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0" w:type="dxa"/>
            <w:vAlign w:val="bottom"/>
          </w:tcPr>
          <w:p>
            <w:pPr>
              <w:spacing w:after="0"/>
              <w:rPr>
                <w:sz w:val="1"/>
                <w:szCs w:val="1"/>
                <w:color w:val="auto"/>
              </w:rPr>
            </w:pPr>
          </w:p>
        </w:tc>
      </w:tr>
      <w:tr>
        <w:trPr>
          <w:trHeight w:val="172"/>
        </w:trPr>
        <w:tc>
          <w:tcPr>
            <w:tcW w:w="894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59"/>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94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(534,194)</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(97,200)</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Adjustments to reconcile net income (loss) to net cash provided by (used in) operating activities:</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940" w:type="dxa"/>
            <w:vAlign w:val="bottom"/>
          </w:tcPr>
          <w:p>
            <w:pPr>
              <w:ind w:left="240"/>
              <w:spacing w:after="0"/>
              <w:rPr>
                <w:sz w:val="20"/>
                <w:szCs w:val="20"/>
                <w:color w:val="auto"/>
              </w:rPr>
            </w:pPr>
            <w:r>
              <w:rPr>
                <w:rFonts w:ascii="Arial" w:cs="Arial" w:eastAsia="Arial" w:hAnsi="Arial"/>
                <w:sz w:val="13"/>
                <w:szCs w:val="13"/>
                <w:color w:val="auto"/>
              </w:rPr>
              <w:t>Share-based compensation</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27,297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216,229</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13,451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4,496</w:t>
            </w:r>
          </w:p>
        </w:tc>
        <w:tc>
          <w:tcPr>
            <w:tcW w:w="0" w:type="dxa"/>
            <w:vAlign w:val="bottom"/>
          </w:tcPr>
          <w:p>
            <w:pPr>
              <w:spacing w:after="0"/>
              <w:rPr>
                <w:sz w:val="1"/>
                <w:szCs w:val="1"/>
                <w:color w:val="auto"/>
              </w:rPr>
            </w:pPr>
          </w:p>
        </w:tc>
      </w:tr>
      <w:tr>
        <w:trPr>
          <w:trHeight w:val="168"/>
        </w:trPr>
        <w:tc>
          <w:tcPr>
            <w:tcW w:w="8940" w:type="dxa"/>
            <w:vAlign w:val="bottom"/>
          </w:tcPr>
          <w:p>
            <w:pPr>
              <w:ind w:left="240"/>
              <w:spacing w:after="0"/>
              <w:rPr>
                <w:sz w:val="20"/>
                <w:szCs w:val="20"/>
                <w:color w:val="auto"/>
              </w:rPr>
            </w:pPr>
            <w:r>
              <w:rPr>
                <w:rFonts w:ascii="Arial" w:cs="Arial" w:eastAsia="Arial" w:hAnsi="Arial"/>
                <w:sz w:val="13"/>
                <w:szCs w:val="13"/>
                <w:color w:val="auto"/>
              </w:rPr>
              <w:t>Amortization of intangible assets</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94,056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94,056</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Amortization of debt discount and issuance costs</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2,430</w:t>
            </w:r>
          </w:p>
        </w:tc>
        <w:tc>
          <w:tcPr>
            <w:tcW w:w="0" w:type="dxa"/>
            <w:vAlign w:val="bottom"/>
          </w:tcPr>
          <w:p>
            <w:pPr>
              <w:spacing w:after="0"/>
              <w:rPr>
                <w:sz w:val="1"/>
                <w:szCs w:val="1"/>
                <w:color w:val="auto"/>
              </w:rPr>
            </w:pPr>
          </w:p>
        </w:tc>
      </w:tr>
      <w:tr>
        <w:trPr>
          <w:trHeight w:val="167"/>
        </w:trPr>
        <w:tc>
          <w:tcPr>
            <w:tcW w:w="8940" w:type="dxa"/>
            <w:vAlign w:val="bottom"/>
          </w:tcPr>
          <w:p>
            <w:pPr>
              <w:ind w:left="240"/>
              <w:spacing w:after="0"/>
              <w:rPr>
                <w:sz w:val="20"/>
                <w:szCs w:val="20"/>
                <w:color w:val="auto"/>
              </w:rPr>
            </w:pPr>
            <w:r>
              <w:rPr>
                <w:rFonts w:ascii="Arial" w:cs="Arial" w:eastAsia="Arial" w:hAnsi="Arial"/>
                <w:sz w:val="13"/>
                <w:szCs w:val="13"/>
                <w:color w:val="auto"/>
              </w:rPr>
              <w:t>Loss on extinguishment of debt</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11,935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4"/>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Loss on sublease</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940" w:type="dxa"/>
            <w:vAlign w:val="bottom"/>
          </w:tcPr>
          <w:p>
            <w:pPr>
              <w:ind w:left="240"/>
              <w:spacing w:after="0"/>
              <w:rPr>
                <w:sz w:val="20"/>
                <w:szCs w:val="20"/>
                <w:color w:val="auto"/>
              </w:rPr>
            </w:pPr>
            <w:r>
              <w:rPr>
                <w:rFonts w:ascii="Arial" w:cs="Arial" w:eastAsia="Arial" w:hAnsi="Arial"/>
                <w:sz w:val="13"/>
                <w:szCs w:val="13"/>
                <w:color w:val="auto"/>
              </w:rPr>
              <w:t>Change in fair value of contingent consideration</w:t>
            </w: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19,700</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Goodwill impairment charges</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386,553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940" w:type="dxa"/>
            <w:vAlign w:val="bottom"/>
          </w:tcPr>
          <w:p>
            <w:pPr>
              <w:ind w:left="240"/>
              <w:spacing w:after="0"/>
              <w:rPr>
                <w:sz w:val="20"/>
                <w:szCs w:val="20"/>
                <w:color w:val="auto"/>
              </w:rPr>
            </w:pPr>
            <w:r>
              <w:rPr>
                <w:rFonts w:ascii="Arial" w:cs="Arial" w:eastAsia="Arial" w:hAnsi="Arial"/>
                <w:sz w:val="13"/>
                <w:szCs w:val="13"/>
                <w:color w:val="auto"/>
              </w:rPr>
              <w:t>Non-cash lease expense</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5,033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non-cash items</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(1,691)</w:t>
            </w:r>
          </w:p>
        </w:tc>
        <w:tc>
          <w:tcPr>
            <w:tcW w:w="0" w:type="dxa"/>
            <w:vAlign w:val="bottom"/>
          </w:tcPr>
          <w:p>
            <w:pPr>
              <w:spacing w:after="0"/>
              <w:rPr>
                <w:sz w:val="1"/>
                <w:szCs w:val="1"/>
                <w:color w:val="auto"/>
              </w:rPr>
            </w:pPr>
          </w:p>
        </w:tc>
      </w:tr>
      <w:tr>
        <w:trPr>
          <w:trHeight w:val="170"/>
        </w:trPr>
        <w:tc>
          <w:tcPr>
            <w:tcW w:w="8940" w:type="dxa"/>
            <w:vAlign w:val="bottom"/>
          </w:tcPr>
          <w:p>
            <w:pPr>
              <w:ind w:left="240"/>
              <w:spacing w:after="0"/>
              <w:rPr>
                <w:sz w:val="20"/>
                <w:szCs w:val="20"/>
                <w:color w:val="auto"/>
              </w:rPr>
            </w:pPr>
            <w:r>
              <w:rPr>
                <w:rFonts w:ascii="Arial" w:cs="Arial" w:eastAsia="Arial" w:hAnsi="Arial"/>
                <w:sz w:val="13"/>
                <w:szCs w:val="13"/>
                <w:i w:val="1"/>
                <w:iCs w:val="1"/>
                <w:color w:val="auto"/>
              </w:rPr>
              <w:t>Changes in assets and liabilities, net of acquisition:</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9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Accounts receivable</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4,526</w:t>
            </w:r>
          </w:p>
        </w:tc>
        <w:tc>
          <w:tcPr>
            <w:tcW w:w="0" w:type="dxa"/>
            <w:vAlign w:val="bottom"/>
          </w:tcPr>
          <w:p>
            <w:pPr>
              <w:spacing w:after="0"/>
              <w:rPr>
                <w:sz w:val="1"/>
                <w:szCs w:val="1"/>
                <w:color w:val="auto"/>
              </w:rPr>
            </w:pPr>
          </w:p>
        </w:tc>
      </w:tr>
      <w:tr>
        <w:trPr>
          <w:trHeight w:val="168"/>
        </w:trPr>
        <w:tc>
          <w:tcPr>
            <w:tcW w:w="8940" w:type="dxa"/>
            <w:vAlign w:val="bottom"/>
          </w:tcPr>
          <w:p>
            <w:pPr>
              <w:ind w:left="460"/>
              <w:spacing w:after="0"/>
              <w:rPr>
                <w:sz w:val="20"/>
                <w:szCs w:val="20"/>
                <w:color w:val="auto"/>
              </w:rPr>
            </w:pPr>
            <w:r>
              <w:rPr>
                <w:rFonts w:ascii="Arial" w:cs="Arial" w:eastAsia="Arial" w:hAnsi="Arial"/>
                <w:sz w:val="13"/>
                <w:szCs w:val="13"/>
                <w:color w:val="auto"/>
              </w:rPr>
              <w:t>Commissions receivable</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(452,950)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(427,467)</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Prepaid expenses and other assets</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(18,613)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(30,194)</w:t>
            </w:r>
          </w:p>
        </w:tc>
        <w:tc>
          <w:tcPr>
            <w:tcW w:w="0" w:type="dxa"/>
            <w:vAlign w:val="bottom"/>
          </w:tcPr>
          <w:p>
            <w:pPr>
              <w:spacing w:after="0"/>
              <w:rPr>
                <w:sz w:val="1"/>
                <w:szCs w:val="1"/>
                <w:color w:val="auto"/>
              </w:rPr>
            </w:pPr>
          </w:p>
        </w:tc>
      </w:tr>
      <w:tr>
        <w:trPr>
          <w:trHeight w:val="168"/>
        </w:trPr>
        <w:tc>
          <w:tcPr>
            <w:tcW w:w="8940" w:type="dxa"/>
            <w:vAlign w:val="bottom"/>
          </w:tcPr>
          <w:p>
            <w:pPr>
              <w:ind w:left="460"/>
              <w:spacing w:after="0"/>
              <w:rPr>
                <w:sz w:val="20"/>
                <w:szCs w:val="20"/>
                <w:color w:val="auto"/>
              </w:rPr>
            </w:pPr>
            <w:r>
              <w:rPr>
                <w:rFonts w:ascii="Arial" w:cs="Arial" w:eastAsia="Arial" w:hAnsi="Arial"/>
                <w:sz w:val="13"/>
                <w:szCs w:val="13"/>
                <w:color w:val="auto"/>
              </w:rPr>
              <w:t>Accounts payable</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30,477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(5,340)</w:t>
            </w:r>
          </w:p>
        </w:tc>
        <w:tc>
          <w:tcPr>
            <w:tcW w:w="0" w:type="dxa"/>
            <w:vAlign w:val="bottom"/>
          </w:tcPr>
          <w:p>
            <w:pPr>
              <w:spacing w:after="0"/>
              <w:rPr>
                <w:sz w:val="1"/>
                <w:szCs w:val="1"/>
                <w:color w:val="auto"/>
              </w:rPr>
            </w:pPr>
          </w:p>
        </w:tc>
      </w:tr>
      <w:tr>
        <w:trPr>
          <w:trHeight w:val="184"/>
        </w:trPr>
        <w:tc>
          <w:tcPr>
            <w:tcW w:w="89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Accrued liabilities</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25,745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4,358</w:t>
            </w:r>
          </w:p>
        </w:tc>
        <w:tc>
          <w:tcPr>
            <w:tcW w:w="0" w:type="dxa"/>
            <w:vAlign w:val="bottom"/>
          </w:tcPr>
          <w:p>
            <w:pPr>
              <w:spacing w:after="0"/>
              <w:rPr>
                <w:sz w:val="1"/>
                <w:szCs w:val="1"/>
                <w:color w:val="auto"/>
              </w:rPr>
            </w:pPr>
          </w:p>
        </w:tc>
      </w:tr>
      <w:tr>
        <w:trPr>
          <w:trHeight w:val="168"/>
        </w:trPr>
        <w:tc>
          <w:tcPr>
            <w:tcW w:w="8940" w:type="dxa"/>
            <w:vAlign w:val="bottom"/>
          </w:tcPr>
          <w:p>
            <w:pPr>
              <w:ind w:left="460"/>
              <w:spacing w:after="0"/>
              <w:rPr>
                <w:sz w:val="20"/>
                <w:szCs w:val="20"/>
                <w:color w:val="auto"/>
              </w:rPr>
            </w:pPr>
            <w:r>
              <w:rPr>
                <w:rFonts w:ascii="Arial" w:cs="Arial" w:eastAsia="Arial" w:hAnsi="Arial"/>
                <w:sz w:val="13"/>
                <w:szCs w:val="13"/>
                <w:color w:val="auto"/>
              </w:rPr>
              <w:t>Deferred revenue</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(14,482)</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Commissions payable</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117,489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107,583</w:t>
            </w:r>
          </w:p>
        </w:tc>
        <w:tc>
          <w:tcPr>
            <w:tcW w:w="0" w:type="dxa"/>
            <w:vAlign w:val="bottom"/>
          </w:tcPr>
          <w:p>
            <w:pPr>
              <w:spacing w:after="0"/>
              <w:rPr>
                <w:sz w:val="1"/>
                <w:szCs w:val="1"/>
                <w:color w:val="auto"/>
              </w:rPr>
            </w:pPr>
          </w:p>
        </w:tc>
      </w:tr>
      <w:tr>
        <w:trPr>
          <w:trHeight w:val="168"/>
        </w:trPr>
        <w:tc>
          <w:tcPr>
            <w:tcW w:w="8940" w:type="dxa"/>
            <w:vAlign w:val="bottom"/>
          </w:tcPr>
          <w:p>
            <w:pPr>
              <w:ind w:left="460"/>
              <w:spacing w:after="0"/>
              <w:rPr>
                <w:sz w:val="20"/>
                <w:szCs w:val="20"/>
                <w:color w:val="auto"/>
              </w:rPr>
            </w:pPr>
            <w:r>
              <w:rPr>
                <w:rFonts w:ascii="Arial" w:cs="Arial" w:eastAsia="Arial" w:hAnsi="Arial"/>
                <w:sz w:val="13"/>
                <w:szCs w:val="13"/>
                <w:color w:val="auto"/>
              </w:rPr>
              <w:t>Operating lease liabilities</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(4,885)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Other liabilities</w:t>
            </w:r>
          </w:p>
        </w:tc>
        <w:tc>
          <w:tcPr>
            <w:tcW w:w="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(721)</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8,779</w:t>
            </w:r>
          </w:p>
        </w:tc>
        <w:tc>
          <w:tcPr>
            <w:tcW w:w="0" w:type="dxa"/>
            <w:vAlign w:val="bottom"/>
          </w:tcPr>
          <w:p>
            <w:pPr>
              <w:spacing w:after="0"/>
              <w:rPr>
                <w:sz w:val="1"/>
                <w:szCs w:val="1"/>
                <w:color w:val="auto"/>
              </w:rPr>
            </w:pPr>
          </w:p>
        </w:tc>
      </w:tr>
      <w:tr>
        <w:trPr>
          <w:trHeight w:val="163"/>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cash provided by (used in) operating activities</w:t>
            </w: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(299,006)</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(114,217)</w:t>
            </w:r>
          </w:p>
        </w:tc>
        <w:tc>
          <w:tcPr>
            <w:tcW w:w="0" w:type="dxa"/>
            <w:vAlign w:val="bottom"/>
          </w:tcPr>
          <w:p>
            <w:pPr>
              <w:spacing w:after="0"/>
              <w:rPr>
                <w:sz w:val="1"/>
                <w:szCs w:val="1"/>
                <w:color w:val="auto"/>
              </w:rPr>
            </w:pPr>
          </w:p>
        </w:tc>
      </w:tr>
      <w:tr>
        <w:trPr>
          <w:trHeight w:val="162"/>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940" w:type="dxa"/>
            <w:vAlign w:val="bottom"/>
          </w:tcPr>
          <w:p>
            <w:pPr>
              <w:ind w:left="20"/>
              <w:spacing w:after="0"/>
              <w:rPr>
                <w:sz w:val="20"/>
                <w:szCs w:val="20"/>
                <w:color w:val="auto"/>
              </w:rPr>
            </w:pPr>
            <w:r>
              <w:rPr>
                <w:rFonts w:ascii="Arial" w:cs="Arial" w:eastAsia="Arial" w:hAnsi="Arial"/>
                <w:sz w:val="13"/>
                <w:szCs w:val="13"/>
                <w:color w:val="auto"/>
              </w:rPr>
              <w:t>Acquisition of business, net of cash</w:t>
            </w: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Purchases of property, equipment and software</w:t>
            </w:r>
          </w:p>
        </w:tc>
        <w:tc>
          <w:tcPr>
            <w:tcW w:w="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(19,801)</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(14,523)</w:t>
            </w:r>
          </w:p>
        </w:tc>
        <w:tc>
          <w:tcPr>
            <w:tcW w:w="0" w:type="dxa"/>
            <w:vAlign w:val="bottom"/>
          </w:tcPr>
          <w:p>
            <w:pPr>
              <w:spacing w:after="0"/>
              <w:rPr>
                <w:sz w:val="1"/>
                <w:szCs w:val="1"/>
                <w:color w:val="auto"/>
              </w:rPr>
            </w:pPr>
          </w:p>
        </w:tc>
      </w:tr>
      <w:tr>
        <w:trPr>
          <w:trHeight w:val="163"/>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cash provided by (used in) investing activities</w:t>
            </w: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(19,801)</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(14,523)</w:t>
            </w:r>
          </w:p>
        </w:tc>
        <w:tc>
          <w:tcPr>
            <w:tcW w:w="0" w:type="dxa"/>
            <w:vAlign w:val="bottom"/>
          </w:tcPr>
          <w:p>
            <w:pPr>
              <w:spacing w:after="0"/>
              <w:rPr>
                <w:sz w:val="1"/>
                <w:szCs w:val="1"/>
                <w:color w:val="auto"/>
              </w:rPr>
            </w:pPr>
          </w:p>
        </w:tc>
      </w:tr>
      <w:tr>
        <w:trPr>
          <w:trHeight w:val="162"/>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940" w:type="dxa"/>
            <w:vAlign w:val="bottom"/>
          </w:tcPr>
          <w:p>
            <w:pPr>
              <w:ind w:left="20"/>
              <w:spacing w:after="0"/>
              <w:rPr>
                <w:sz w:val="20"/>
                <w:szCs w:val="20"/>
                <w:color w:val="auto"/>
              </w:rPr>
            </w:pPr>
            <w:r>
              <w:rPr>
                <w:rFonts w:ascii="Arial" w:cs="Arial" w:eastAsia="Arial" w:hAnsi="Arial"/>
                <w:sz w:val="13"/>
                <w:szCs w:val="13"/>
                <w:color w:val="auto"/>
              </w:rPr>
              <w:t>Proceeds from issuance of Class A common stock sold in initial public offering, net of offering costs</w:t>
            </w: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852,407</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 of partial consideration to Blocker Shareholders in the Blocker Merger</w:t>
            </w:r>
          </w:p>
        </w:tc>
        <w:tc>
          <w:tcPr>
            <w:tcW w:w="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(96,165)</w:t>
            </w:r>
          </w:p>
        </w:tc>
        <w:tc>
          <w:tcPr>
            <w:tcW w:w="0" w:type="dxa"/>
            <w:vAlign w:val="bottom"/>
          </w:tcPr>
          <w:p>
            <w:pPr>
              <w:spacing w:after="0"/>
              <w:rPr>
                <w:sz w:val="1"/>
                <w:szCs w:val="1"/>
                <w:color w:val="auto"/>
              </w:rPr>
            </w:pPr>
          </w:p>
        </w:tc>
      </w:tr>
      <w:tr>
        <w:trPr>
          <w:trHeight w:val="168"/>
        </w:trPr>
        <w:tc>
          <w:tcPr>
            <w:tcW w:w="8940" w:type="dxa"/>
            <w:vAlign w:val="bottom"/>
          </w:tcPr>
          <w:p>
            <w:pPr>
              <w:ind w:left="20"/>
              <w:spacing w:after="0"/>
              <w:rPr>
                <w:sz w:val="20"/>
                <w:szCs w:val="20"/>
                <w:color w:val="auto"/>
              </w:rPr>
            </w:pPr>
            <w:r>
              <w:rPr>
                <w:rFonts w:ascii="Arial" w:cs="Arial" w:eastAsia="Arial" w:hAnsi="Arial"/>
                <w:sz w:val="13"/>
                <w:szCs w:val="13"/>
                <w:color w:val="auto"/>
              </w:rPr>
              <w:t>Purchase of LLC Interests from Continuing Equity Owners</w:t>
            </w: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(508,320)</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Settlement of Senior Preferred Earnout Units</w:t>
            </w:r>
          </w:p>
        </w:tc>
        <w:tc>
          <w:tcPr>
            <w:tcW w:w="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w:t>
            </w:r>
          </w:p>
        </w:tc>
        <w:tc>
          <w:tcPr>
            <w:tcW w:w="0" w:type="dxa"/>
            <w:vAlign w:val="bottom"/>
          </w:tcPr>
          <w:p>
            <w:pPr>
              <w:spacing w:after="0"/>
              <w:rPr>
                <w:sz w:val="1"/>
                <w:szCs w:val="1"/>
                <w:color w:val="auto"/>
              </w:rPr>
            </w:pPr>
          </w:p>
        </w:tc>
      </w:tr>
      <w:tr>
        <w:trPr>
          <w:trHeight w:val="168"/>
        </w:trPr>
        <w:tc>
          <w:tcPr>
            <w:tcW w:w="8940" w:type="dxa"/>
            <w:vAlign w:val="bottom"/>
          </w:tcPr>
          <w:p>
            <w:pPr>
              <w:ind w:left="20"/>
              <w:spacing w:after="0"/>
              <w:rPr>
                <w:sz w:val="20"/>
                <w:szCs w:val="20"/>
                <w:color w:val="auto"/>
              </w:rPr>
            </w:pPr>
            <w:r>
              <w:rPr>
                <w:rFonts w:ascii="Arial" w:cs="Arial" w:eastAsia="Arial" w:hAnsi="Arial"/>
                <w:sz w:val="13"/>
                <w:szCs w:val="13"/>
                <w:color w:val="auto"/>
              </w:rPr>
              <w:t>Proceeds received upon issuance of preferred units</w:t>
            </w:r>
          </w:p>
        </w:tc>
        <w:tc>
          <w:tcPr>
            <w:tcW w:w="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4"/>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received upon issuance of common units</w:t>
            </w:r>
          </w:p>
        </w:tc>
        <w:tc>
          <w:tcPr>
            <w:tcW w:w="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0" w:type="dxa"/>
            <w:vAlign w:val="bottom"/>
          </w:tcPr>
          <w:p>
            <w:pPr>
              <w:spacing w:after="0"/>
              <w:rPr>
                <w:sz w:val="1"/>
                <w:szCs w:val="1"/>
                <w:color w:val="auto"/>
              </w:rPr>
            </w:pPr>
          </w:p>
        </w:tc>
      </w:tr>
      <w:tr>
        <w:trPr>
          <w:trHeight w:val="167"/>
        </w:trPr>
        <w:tc>
          <w:tcPr>
            <w:tcW w:w="8940" w:type="dxa"/>
            <w:vAlign w:val="bottom"/>
          </w:tcPr>
          <w:p>
            <w:pPr>
              <w:ind w:left="20"/>
              <w:spacing w:after="0"/>
              <w:rPr>
                <w:sz w:val="20"/>
                <w:szCs w:val="20"/>
                <w:color w:val="auto"/>
              </w:rPr>
            </w:pPr>
            <w:r>
              <w:rPr>
                <w:rFonts w:ascii="Arial" w:cs="Arial" w:eastAsia="Arial" w:hAnsi="Arial"/>
                <w:sz w:val="13"/>
                <w:szCs w:val="13"/>
                <w:color w:val="auto"/>
              </w:rPr>
              <w:t>Proceeds from borrowings</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565,000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117,000</w:t>
            </w:r>
          </w:p>
        </w:tc>
        <w:tc>
          <w:tcPr>
            <w:tcW w:w="0" w:type="dxa"/>
            <w:vAlign w:val="bottom"/>
          </w:tcPr>
          <w:p>
            <w:pPr>
              <w:spacing w:after="0"/>
              <w:rPr>
                <w:sz w:val="1"/>
                <w:szCs w:val="1"/>
                <w:color w:val="auto"/>
              </w:rPr>
            </w:pPr>
          </w:p>
        </w:tc>
      </w:tr>
      <w:tr>
        <w:trPr>
          <w:trHeight w:val="184"/>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Repayment of borrowings</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(298,970)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(3,878)</w:t>
            </w:r>
          </w:p>
        </w:tc>
        <w:tc>
          <w:tcPr>
            <w:tcW w:w="0" w:type="dxa"/>
            <w:vAlign w:val="bottom"/>
          </w:tcPr>
          <w:p>
            <w:pPr>
              <w:spacing w:after="0"/>
              <w:rPr>
                <w:sz w:val="1"/>
                <w:szCs w:val="1"/>
                <w:color w:val="auto"/>
              </w:rPr>
            </w:pPr>
          </w:p>
        </w:tc>
      </w:tr>
      <w:tr>
        <w:trPr>
          <w:trHeight w:val="168"/>
        </w:trPr>
        <w:tc>
          <w:tcPr>
            <w:tcW w:w="8940" w:type="dxa"/>
            <w:vAlign w:val="bottom"/>
          </w:tcPr>
          <w:p>
            <w:pPr>
              <w:ind w:left="20"/>
              <w:spacing w:after="0"/>
              <w:rPr>
                <w:sz w:val="20"/>
                <w:szCs w:val="20"/>
                <w:color w:val="auto"/>
              </w:rPr>
            </w:pPr>
            <w:r>
              <w:rPr>
                <w:rFonts w:ascii="Arial" w:cs="Arial" w:eastAsia="Arial" w:hAnsi="Arial"/>
                <w:sz w:val="13"/>
                <w:szCs w:val="13"/>
                <w:color w:val="auto"/>
              </w:rPr>
              <w:t>Call premium paid for debt extinguishment</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(5,910)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Debt issuance cost payments</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(6,293)</w:t>
            </w:r>
          </w:p>
        </w:tc>
        <w:tc>
          <w:tcPr>
            <w:tcW w:w="0" w:type="dxa"/>
            <w:vAlign w:val="bottom"/>
          </w:tcPr>
          <w:p>
            <w:pPr>
              <w:spacing w:after="0"/>
              <w:rPr>
                <w:sz w:val="1"/>
                <w:szCs w:val="1"/>
                <w:color w:val="auto"/>
              </w:rPr>
            </w:pPr>
          </w:p>
        </w:tc>
      </w:tr>
      <w:tr>
        <w:trPr>
          <w:trHeight w:val="168"/>
        </w:trPr>
        <w:tc>
          <w:tcPr>
            <w:tcW w:w="8940" w:type="dxa"/>
            <w:vAlign w:val="bottom"/>
          </w:tcPr>
          <w:p>
            <w:pPr>
              <w:ind w:left="20"/>
              <w:spacing w:after="0"/>
              <w:rPr>
                <w:sz w:val="20"/>
                <w:szCs w:val="20"/>
                <w:color w:val="auto"/>
              </w:rPr>
            </w:pPr>
            <w:r>
              <w:rPr>
                <w:rFonts w:ascii="Arial" w:cs="Arial" w:eastAsia="Arial" w:hAnsi="Arial"/>
                <w:sz w:val="13"/>
                <w:szCs w:val="13"/>
                <w:color w:val="auto"/>
              </w:rPr>
              <w:t>Principal payments under capital lease obligations</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(318)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(293)</w:t>
            </w:r>
          </w:p>
        </w:tc>
        <w:tc>
          <w:tcPr>
            <w:tcW w:w="0" w:type="dxa"/>
            <w:vAlign w:val="bottom"/>
          </w:tcPr>
          <w:p>
            <w:pPr>
              <w:spacing w:after="0"/>
              <w:rPr>
                <w:sz w:val="1"/>
                <w:szCs w:val="1"/>
                <w:color w:val="auto"/>
              </w:rPr>
            </w:pPr>
          </w:p>
        </w:tc>
      </w:tr>
      <w:tr>
        <w:trPr>
          <w:trHeight w:val="184"/>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Distributions to non-controlling interests</w:t>
            </w:r>
          </w:p>
        </w:tc>
        <w:tc>
          <w:tcPr>
            <w:tcW w:w="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0" w:type="dxa"/>
            <w:vAlign w:val="bottom"/>
          </w:tcPr>
          <w:p>
            <w:pPr>
              <w:spacing w:after="0"/>
              <w:rPr>
                <w:sz w:val="1"/>
                <w:szCs w:val="1"/>
                <w:color w:val="auto"/>
              </w:rPr>
            </w:pPr>
          </w:p>
        </w:tc>
      </w:tr>
      <w:tr>
        <w:trPr>
          <w:trHeight w:val="169"/>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Advancement to NVX Holdings, Inc.</w:t>
            </w: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3,395</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(3,395)</w:t>
            </w:r>
          </w:p>
        </w:tc>
        <w:tc>
          <w:tcPr>
            <w:tcW w:w="0" w:type="dxa"/>
            <w:vAlign w:val="bottom"/>
          </w:tcPr>
          <w:p>
            <w:pPr>
              <w:spacing w:after="0"/>
              <w:rPr>
                <w:sz w:val="1"/>
                <w:szCs w:val="1"/>
                <w:color w:val="auto"/>
              </w:rPr>
            </w:pPr>
          </w:p>
        </w:tc>
      </w:tr>
      <w:tr>
        <w:trPr>
          <w:trHeight w:val="175"/>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(used in) financing activities</w:t>
            </w:r>
          </w:p>
        </w:tc>
        <w:tc>
          <w:tcPr>
            <w:tcW w:w="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259,089</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260,663</w:t>
            </w:r>
          </w:p>
        </w:tc>
        <w:tc>
          <w:tcPr>
            <w:tcW w:w="0" w:type="dxa"/>
            <w:vAlign w:val="bottom"/>
          </w:tcPr>
          <w:p>
            <w:pPr>
              <w:spacing w:after="0"/>
              <w:rPr>
                <w:sz w:val="1"/>
                <w:szCs w:val="1"/>
                <w:color w:val="auto"/>
              </w:rPr>
            </w:pPr>
          </w:p>
        </w:tc>
      </w:tr>
      <w:tr>
        <w:trPr>
          <w:trHeight w:val="163"/>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Effect of exchange rate changes on cash and cash equivalents</w:t>
            </w: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76"/>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Increase (decrease) in cash and cash equivalents</w:t>
            </w:r>
          </w:p>
        </w:tc>
        <w:tc>
          <w:tcPr>
            <w:tcW w:w="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(59,873)</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131,958</w:t>
            </w:r>
          </w:p>
        </w:tc>
        <w:tc>
          <w:tcPr>
            <w:tcW w:w="0" w:type="dxa"/>
            <w:vAlign w:val="bottom"/>
          </w:tcPr>
          <w:p>
            <w:pPr>
              <w:spacing w:after="0"/>
              <w:rPr>
                <w:sz w:val="1"/>
                <w:szCs w:val="1"/>
                <w:color w:val="auto"/>
              </w:rPr>
            </w:pPr>
          </w:p>
        </w:tc>
      </w:tr>
      <w:tr>
        <w:trPr>
          <w:trHeight w:val="162"/>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and cash equivalents at beginning of period</w:t>
            </w: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144,234</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12,276</w:t>
            </w:r>
          </w:p>
        </w:tc>
        <w:tc>
          <w:tcPr>
            <w:tcW w:w="0" w:type="dxa"/>
            <w:vAlign w:val="bottom"/>
          </w:tcPr>
          <w:p>
            <w:pPr>
              <w:spacing w:after="0"/>
              <w:rPr>
                <w:sz w:val="1"/>
                <w:szCs w:val="1"/>
                <w:color w:val="auto"/>
              </w:rPr>
            </w:pPr>
          </w:p>
        </w:tc>
      </w:tr>
      <w:tr>
        <w:trPr>
          <w:trHeight w:val="201"/>
        </w:trPr>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and cash equivalents at end of period</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84,361</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144,234</w:t>
            </w:r>
          </w:p>
        </w:tc>
        <w:tc>
          <w:tcPr>
            <w:tcW w:w="0" w:type="dxa"/>
            <w:vAlign w:val="bottom"/>
          </w:tcPr>
          <w:p>
            <w:pPr>
              <w:spacing w:after="0"/>
              <w:rPr>
                <w:sz w:val="1"/>
                <w:szCs w:val="1"/>
                <w:color w:val="auto"/>
              </w:rPr>
            </w:pP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897"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The following tables set forth operating segment results for the periods indicated (unaudited):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0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jc w:val="right"/>
              <w:ind w:right="57"/>
              <w:spacing w:after="0"/>
              <w:rPr>
                <w:sz w:val="20"/>
                <w:szCs w:val="20"/>
                <w:color w:val="auto"/>
              </w:rPr>
            </w:pPr>
            <w:r>
              <w:rPr>
                <w:rFonts w:ascii="Arial" w:cs="Arial" w:eastAsia="Arial" w:hAnsi="Arial"/>
                <w:sz w:val="13"/>
                <w:szCs w:val="13"/>
                <w:b w:val="1"/>
                <w:bCs w:val="1"/>
                <w:color w:val="auto"/>
                <w:w w:val="97"/>
              </w:rPr>
              <w:t>Three months ended Dec. 31, 2021</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ind w:right="57"/>
              <w:spacing w:after="0"/>
              <w:rPr>
                <w:sz w:val="20"/>
                <w:szCs w:val="20"/>
                <w:color w:val="auto"/>
              </w:rPr>
            </w:pPr>
            <w:r>
              <w:rPr>
                <w:rFonts w:ascii="Arial" w:cs="Arial" w:eastAsia="Arial" w:hAnsi="Arial"/>
                <w:sz w:val="13"/>
                <w:szCs w:val="13"/>
                <w:b w:val="1"/>
                <w:bCs w:val="1"/>
                <w:color w:val="auto"/>
                <w:w w:val="97"/>
              </w:rPr>
              <w:t>Three months ended Dec. 31, 2020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4080" w:type="dxa"/>
            <w:vAlign w:val="bottom"/>
          </w:tcPr>
          <w:p>
            <w:pPr>
              <w:ind w:left="20"/>
              <w:spacing w:after="0"/>
              <w:rPr>
                <w:sz w:val="20"/>
                <w:szCs w:val="20"/>
                <w:color w:val="auto"/>
              </w:rPr>
            </w:pPr>
            <w:r>
              <w:rPr>
                <w:rFonts w:ascii="Arial" w:cs="Arial" w:eastAsia="Arial" w:hAnsi="Arial"/>
                <w:sz w:val="13"/>
                <w:szCs w:val="13"/>
                <w:color w:val="auto"/>
              </w:rPr>
              <w:t>(in thousands, except percentages)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3"/>
          </w:tcPr>
          <w:p>
            <w:pPr>
              <w:ind w:left="220"/>
              <w:spacing w:after="0"/>
              <w:rPr>
                <w:sz w:val="20"/>
                <w:szCs w:val="20"/>
                <w:color w:val="auto"/>
              </w:rPr>
            </w:pPr>
            <w:r>
              <w:rPr>
                <w:rFonts w:ascii="Arial" w:cs="Arial" w:eastAsia="Arial" w:hAnsi="Arial"/>
                <w:sz w:val="13"/>
                <w:szCs w:val="13"/>
                <w:b w:val="1"/>
                <w:bCs w:val="1"/>
                <w:color w:val="auto"/>
              </w:rPr>
              <w:t>Dollars</w:t>
            </w:r>
          </w:p>
        </w:tc>
        <w:tc>
          <w:tcPr>
            <w:tcW w:w="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 of Net Revenues</w:t>
            </w:r>
          </w:p>
        </w:tc>
        <w:tc>
          <w:tcPr>
            <w:tcW w:w="100" w:type="dxa"/>
            <w:vAlign w:val="bottom"/>
          </w:tcPr>
          <w:p>
            <w:pPr>
              <w:spacing w:after="0"/>
              <w:rPr>
                <w:sz w:val="24"/>
                <w:szCs w:val="24"/>
                <w:color w:val="auto"/>
              </w:rPr>
            </w:pPr>
          </w:p>
        </w:tc>
        <w:tc>
          <w:tcPr>
            <w:tcW w:w="1040" w:type="dxa"/>
            <w:vAlign w:val="bottom"/>
            <w:gridSpan w:val="2"/>
          </w:tcPr>
          <w:p>
            <w:pPr>
              <w:ind w:left="220"/>
              <w:spacing w:after="0"/>
              <w:rPr>
                <w:sz w:val="20"/>
                <w:szCs w:val="20"/>
                <w:color w:val="auto"/>
              </w:rPr>
            </w:pPr>
            <w:r>
              <w:rPr>
                <w:rFonts w:ascii="Arial" w:cs="Arial" w:eastAsia="Arial" w:hAnsi="Arial"/>
                <w:sz w:val="13"/>
                <w:szCs w:val="13"/>
                <w:b w:val="1"/>
                <w:bCs w:val="1"/>
                <w:color w:val="auto"/>
              </w:rPr>
              <w:t>Dollars</w:t>
            </w:r>
          </w:p>
        </w:tc>
        <w:tc>
          <w:tcPr>
            <w:tcW w:w="1280" w:type="dxa"/>
            <w:vAlign w:val="bottom"/>
            <w:gridSpan w:val="2"/>
          </w:tcPr>
          <w:p>
            <w:pPr>
              <w:ind w:left="20"/>
              <w:spacing w:after="0"/>
              <w:rPr>
                <w:sz w:val="20"/>
                <w:szCs w:val="20"/>
                <w:color w:val="auto"/>
              </w:rPr>
            </w:pPr>
            <w:r>
              <w:rPr>
                <w:rFonts w:ascii="Arial" w:cs="Arial" w:eastAsia="Arial" w:hAnsi="Arial"/>
                <w:sz w:val="13"/>
                <w:szCs w:val="13"/>
                <w:b w:val="1"/>
                <w:bCs w:val="1"/>
                <w:color w:val="auto"/>
              </w:rPr>
              <w:t>% of Net Revenues</w:t>
            </w:r>
          </w:p>
        </w:tc>
        <w:tc>
          <w:tcPr>
            <w:tcW w:w="160" w:type="dxa"/>
            <w:vAlign w:val="bottom"/>
          </w:tcPr>
          <w:p>
            <w:pPr>
              <w:spacing w:after="0"/>
              <w:rPr>
                <w:sz w:val="24"/>
                <w:szCs w:val="24"/>
                <w:color w:val="auto"/>
              </w:rPr>
            </w:pPr>
          </w:p>
        </w:tc>
        <w:tc>
          <w:tcPr>
            <w:tcW w:w="1000" w:type="dxa"/>
            <w:vAlign w:val="bottom"/>
            <w:gridSpan w:val="2"/>
          </w:tcPr>
          <w:p>
            <w:pPr>
              <w:ind w:left="80"/>
              <w:spacing w:after="0"/>
              <w:rPr>
                <w:sz w:val="20"/>
                <w:szCs w:val="20"/>
                <w:color w:val="auto"/>
              </w:rPr>
            </w:pPr>
            <w:r>
              <w:rPr>
                <w:rFonts w:ascii="Arial" w:cs="Arial" w:eastAsia="Arial" w:hAnsi="Arial"/>
                <w:sz w:val="13"/>
                <w:szCs w:val="13"/>
                <w:b w:val="1"/>
                <w:bCs w:val="1"/>
                <w:color w:val="auto"/>
              </w:rPr>
              <w:t>$ Change</w:t>
            </w:r>
          </w:p>
        </w:tc>
        <w:tc>
          <w:tcPr>
            <w:tcW w:w="1160" w:type="dxa"/>
            <w:vAlign w:val="bottom"/>
          </w:tcPr>
          <w:p>
            <w:pPr>
              <w:jc w:val="right"/>
              <w:ind w:right="217"/>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62"/>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i w:val="1"/>
                <w:iCs w:val="1"/>
                <w:color w:val="auto"/>
              </w:rPr>
              <w:t>Net revenues:</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tcPr>
          <w:p>
            <w:pPr>
              <w:ind w:left="240"/>
              <w:spacing w:after="0"/>
              <w:rPr>
                <w:sz w:val="20"/>
                <w:szCs w:val="20"/>
                <w:color w:val="auto"/>
              </w:rPr>
            </w:pPr>
            <w:r>
              <w:rPr>
                <w:rFonts w:ascii="Arial" w:cs="Arial" w:eastAsia="Arial" w:hAnsi="Arial"/>
                <w:sz w:val="13"/>
                <w:szCs w:val="13"/>
                <w:color w:val="auto"/>
              </w:rPr>
              <w:t>Medicare - Internal</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368,503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82.0 %</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351,082</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78.7 %</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17,421</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5.0 %</w:t>
            </w:r>
          </w:p>
        </w:tc>
        <w:tc>
          <w:tcPr>
            <w:tcW w:w="0" w:type="dxa"/>
            <w:vAlign w:val="bottom"/>
          </w:tcPr>
          <w:p>
            <w:pPr>
              <w:spacing w:after="0"/>
              <w:rPr>
                <w:sz w:val="1"/>
                <w:szCs w:val="1"/>
                <w:color w:val="auto"/>
              </w:rPr>
            </w:pPr>
          </w:p>
        </w:tc>
      </w:tr>
      <w:tr>
        <w:trPr>
          <w:trHeight w:val="183"/>
        </w:trPr>
        <w:tc>
          <w:tcPr>
            <w:tcW w:w="40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Medicare - External</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72,447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16.1 %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78,355</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(5,908)</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68"/>
        </w:trPr>
        <w:tc>
          <w:tcPr>
            <w:tcW w:w="4080" w:type="dxa"/>
            <w:vAlign w:val="bottom"/>
          </w:tcPr>
          <w:p>
            <w:pPr>
              <w:ind w:left="240"/>
              <w:spacing w:after="0"/>
              <w:rPr>
                <w:sz w:val="20"/>
                <w:szCs w:val="20"/>
                <w:color w:val="auto"/>
              </w:rPr>
            </w:pPr>
            <w:r>
              <w:rPr>
                <w:rFonts w:ascii="Arial" w:cs="Arial" w:eastAsia="Arial" w:hAnsi="Arial"/>
                <w:sz w:val="13"/>
                <w:szCs w:val="13"/>
                <w:color w:val="auto"/>
              </w:rPr>
              <w:t>IFP and Other - Internal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6,182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1.4 %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10,473</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2.3 %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(4,291)</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(41.0)%</w:t>
            </w:r>
          </w:p>
        </w:tc>
        <w:tc>
          <w:tcPr>
            <w:tcW w:w="0" w:type="dxa"/>
            <w:vAlign w:val="bottom"/>
          </w:tcPr>
          <w:p>
            <w:pPr>
              <w:spacing w:after="0"/>
              <w:rPr>
                <w:sz w:val="1"/>
                <w:szCs w:val="1"/>
                <w:color w:val="auto"/>
              </w:rPr>
            </w:pPr>
          </w:p>
        </w:tc>
      </w:tr>
      <w:tr>
        <w:trPr>
          <w:trHeight w:val="183"/>
        </w:trPr>
        <w:tc>
          <w:tcPr>
            <w:tcW w:w="40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IFP and Other - External</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2,468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0.5 %</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6,013</w:t>
            </w:r>
          </w:p>
        </w:tc>
        <w:tc>
          <w:tcPr>
            <w:tcW w:w="8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1.3 %</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(3,545)</w:t>
            </w:r>
          </w:p>
        </w:tc>
        <w:tc>
          <w:tcPr>
            <w:tcW w:w="10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(59.0)%</w:t>
            </w:r>
          </w:p>
        </w:tc>
        <w:tc>
          <w:tcPr>
            <w:tcW w:w="0" w:type="dxa"/>
            <w:vAlign w:val="bottom"/>
          </w:tcPr>
          <w:p>
            <w:pPr>
              <w:spacing w:after="0"/>
              <w:rPr>
                <w:sz w:val="1"/>
                <w:szCs w:val="1"/>
                <w:color w:val="auto"/>
              </w:rPr>
            </w:pPr>
          </w:p>
        </w:tc>
      </w:tr>
      <w:tr>
        <w:trPr>
          <w:trHeight w:val="163"/>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revenues</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449,600</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445,923</w:t>
            </w:r>
          </w:p>
        </w:tc>
        <w:tc>
          <w:tcPr>
            <w:tcW w:w="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3,677</w:t>
            </w: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0.8 %</w:t>
            </w:r>
          </w:p>
        </w:tc>
        <w:tc>
          <w:tcPr>
            <w:tcW w:w="0" w:type="dxa"/>
            <w:vAlign w:val="bottom"/>
          </w:tcPr>
          <w:p>
            <w:pPr>
              <w:spacing w:after="0"/>
              <w:rPr>
                <w:sz w:val="1"/>
                <w:szCs w:val="1"/>
                <w:color w:val="auto"/>
              </w:rPr>
            </w:pPr>
          </w:p>
        </w:tc>
      </w:tr>
      <w:tr>
        <w:trPr>
          <w:trHeight w:val="176"/>
        </w:trPr>
        <w:tc>
          <w:tcPr>
            <w:tcW w:w="408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Segment profit: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080" w:type="dxa"/>
            <w:vAlign w:val="bottom"/>
          </w:tcPr>
          <w:p>
            <w:pPr>
              <w:ind w:left="240"/>
              <w:spacing w:after="0"/>
              <w:rPr>
                <w:sz w:val="20"/>
                <w:szCs w:val="20"/>
                <w:color w:val="auto"/>
              </w:rPr>
            </w:pPr>
            <w:r>
              <w:rPr>
                <w:rFonts w:ascii="Arial" w:cs="Arial" w:eastAsia="Arial" w:hAnsi="Arial"/>
                <w:sz w:val="13"/>
                <w:szCs w:val="13"/>
                <w:color w:val="auto"/>
              </w:rPr>
              <w:t>Medicare - Internal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10,771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2.4 %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172,920</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38.8 %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(162,149)</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(93.8)%</w:t>
            </w:r>
          </w:p>
        </w:tc>
        <w:tc>
          <w:tcPr>
            <w:tcW w:w="0" w:type="dxa"/>
            <w:vAlign w:val="bottom"/>
          </w:tcPr>
          <w:p>
            <w:pPr>
              <w:spacing w:after="0"/>
              <w:rPr>
                <w:sz w:val="1"/>
                <w:szCs w:val="1"/>
                <w:color w:val="auto"/>
              </w:rPr>
            </w:pPr>
          </w:p>
        </w:tc>
      </w:tr>
      <w:tr>
        <w:trPr>
          <w:trHeight w:val="183"/>
        </w:trPr>
        <w:tc>
          <w:tcPr>
            <w:tcW w:w="40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Medicare - External</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0.7 %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5,051</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(1,976)</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w:t>
            </w:r>
          </w:p>
        </w:tc>
        <w:tc>
          <w:tcPr>
            <w:tcW w:w="0" w:type="dxa"/>
            <w:vAlign w:val="bottom"/>
          </w:tcPr>
          <w:p>
            <w:pPr>
              <w:spacing w:after="0"/>
              <w:rPr>
                <w:sz w:val="1"/>
                <w:szCs w:val="1"/>
                <w:color w:val="auto"/>
              </w:rPr>
            </w:pPr>
          </w:p>
        </w:tc>
      </w:tr>
      <w:tr>
        <w:trPr>
          <w:trHeight w:val="168"/>
        </w:trPr>
        <w:tc>
          <w:tcPr>
            <w:tcW w:w="4080" w:type="dxa"/>
            <w:vAlign w:val="bottom"/>
          </w:tcPr>
          <w:p>
            <w:pPr>
              <w:ind w:left="240"/>
              <w:spacing w:after="0"/>
              <w:rPr>
                <w:sz w:val="20"/>
                <w:szCs w:val="20"/>
                <w:color w:val="auto"/>
              </w:rPr>
            </w:pPr>
            <w:r>
              <w:rPr>
                <w:rFonts w:ascii="Arial" w:cs="Arial" w:eastAsia="Arial" w:hAnsi="Arial"/>
                <w:sz w:val="13"/>
                <w:szCs w:val="13"/>
                <w:color w:val="auto"/>
              </w:rPr>
              <w:t>IFP and Other - Internal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2,162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0.5 %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4,087</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0.9 %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(1,925)</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(47.1)%</w:t>
            </w:r>
          </w:p>
        </w:tc>
        <w:tc>
          <w:tcPr>
            <w:tcW w:w="0" w:type="dxa"/>
            <w:vAlign w:val="bottom"/>
          </w:tcPr>
          <w:p>
            <w:pPr>
              <w:spacing w:after="0"/>
              <w:rPr>
                <w:sz w:val="1"/>
                <w:szCs w:val="1"/>
                <w:color w:val="auto"/>
              </w:rPr>
            </w:pPr>
          </w:p>
        </w:tc>
      </w:tr>
      <w:tr>
        <w:trPr>
          <w:trHeight w:val="183"/>
        </w:trPr>
        <w:tc>
          <w:tcPr>
            <w:tcW w:w="40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IFP and Other - External</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0.1 %</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1,121</w:t>
            </w:r>
          </w:p>
        </w:tc>
        <w:tc>
          <w:tcPr>
            <w:tcW w:w="8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0.3 %</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(649)</w:t>
            </w:r>
          </w:p>
        </w:tc>
        <w:tc>
          <w:tcPr>
            <w:tcW w:w="10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(57.9)%</w:t>
            </w:r>
          </w:p>
        </w:tc>
        <w:tc>
          <w:tcPr>
            <w:tcW w:w="0" w:type="dxa"/>
            <w:vAlign w:val="bottom"/>
          </w:tcPr>
          <w:p>
            <w:pPr>
              <w:spacing w:after="0"/>
              <w:rPr>
                <w:sz w:val="1"/>
                <w:szCs w:val="1"/>
                <w:color w:val="auto"/>
              </w:rPr>
            </w:pPr>
          </w:p>
        </w:tc>
      </w:tr>
      <w:tr>
        <w:trPr>
          <w:trHeight w:val="163"/>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Segment profit</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16,480</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3.7 %</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183,179</w:t>
            </w:r>
          </w:p>
        </w:tc>
        <w:tc>
          <w:tcPr>
            <w:tcW w:w="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41.1 %</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(166,699)</w:t>
            </w: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(91.0)%</w:t>
            </w:r>
          </w:p>
        </w:tc>
        <w:tc>
          <w:tcPr>
            <w:tcW w:w="0" w:type="dxa"/>
            <w:vAlign w:val="bottom"/>
          </w:tcPr>
          <w:p>
            <w:pPr>
              <w:spacing w:after="0"/>
              <w:rPr>
                <w:sz w:val="1"/>
                <w:szCs w:val="1"/>
                <w:color w:val="auto"/>
              </w:rPr>
            </w:pPr>
          </w:p>
        </w:tc>
      </w:tr>
      <w:tr>
        <w:trPr>
          <w:trHeight w:val="176"/>
        </w:trPr>
        <w:tc>
          <w:tcPr>
            <w:tcW w:w="40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Corporate expense</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29,693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6.6 %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17,834</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11,859</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66.5 %</w:t>
            </w:r>
          </w:p>
        </w:tc>
        <w:tc>
          <w:tcPr>
            <w:tcW w:w="0" w:type="dxa"/>
            <w:vAlign w:val="bottom"/>
          </w:tcPr>
          <w:p>
            <w:pPr>
              <w:spacing w:after="0"/>
              <w:rPr>
                <w:sz w:val="1"/>
                <w:szCs w:val="1"/>
                <w:color w:val="auto"/>
              </w:rPr>
            </w:pPr>
          </w:p>
        </w:tc>
      </w:tr>
      <w:tr>
        <w:trPr>
          <w:trHeight w:val="167"/>
        </w:trPr>
        <w:tc>
          <w:tcPr>
            <w:tcW w:w="4080" w:type="dxa"/>
            <w:vAlign w:val="bottom"/>
          </w:tcPr>
          <w:p>
            <w:pPr>
              <w:ind w:left="240"/>
              <w:spacing w:after="0"/>
              <w:rPr>
                <w:sz w:val="20"/>
                <w:szCs w:val="20"/>
                <w:color w:val="auto"/>
              </w:rPr>
            </w:pPr>
            <w:r>
              <w:rPr>
                <w:rFonts w:ascii="Arial" w:cs="Arial" w:eastAsia="Arial" w:hAnsi="Arial"/>
                <w:sz w:val="13"/>
                <w:szCs w:val="13"/>
                <w:color w:val="auto"/>
              </w:rPr>
              <w:t>Amortization of intangible assets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23,513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5.2 %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23,514</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5.3 %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84"/>
        </w:trPr>
        <w:tc>
          <w:tcPr>
            <w:tcW w:w="40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Goodwill impairment charges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386,553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86.0 %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386,553</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8"/>
        </w:trPr>
        <w:tc>
          <w:tcPr>
            <w:tcW w:w="4080" w:type="dxa"/>
            <w:vAlign w:val="bottom"/>
          </w:tcPr>
          <w:p>
            <w:pPr>
              <w:ind w:left="240"/>
              <w:spacing w:after="0"/>
              <w:rPr>
                <w:sz w:val="20"/>
                <w:szCs w:val="20"/>
                <w:color w:val="auto"/>
              </w:rPr>
            </w:pPr>
            <w:r>
              <w:rPr>
                <w:rFonts w:ascii="Arial" w:cs="Arial" w:eastAsia="Arial" w:hAnsi="Arial"/>
                <w:sz w:val="13"/>
                <w:szCs w:val="13"/>
                <w:color w:val="auto"/>
              </w:rPr>
              <w:t>Interest expense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9,619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2.1 %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8,591</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1.9 %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1,028</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12.0 %</w:t>
            </w:r>
          </w:p>
        </w:tc>
        <w:tc>
          <w:tcPr>
            <w:tcW w:w="0" w:type="dxa"/>
            <w:vAlign w:val="bottom"/>
          </w:tcPr>
          <w:p>
            <w:pPr>
              <w:spacing w:after="0"/>
              <w:rPr>
                <w:sz w:val="1"/>
                <w:szCs w:val="1"/>
                <w:color w:val="auto"/>
              </w:rPr>
            </w:pPr>
          </w:p>
        </w:tc>
      </w:tr>
      <w:tr>
        <w:trPr>
          <w:trHeight w:val="177"/>
        </w:trPr>
        <w:tc>
          <w:tcPr>
            <w:tcW w:w="40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(income) expense, net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(831)</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76"/>
        </w:trPr>
        <w:tc>
          <w:tcPr>
            <w:tcW w:w="4080" w:type="dxa"/>
            <w:vAlign w:val="bottom"/>
          </w:tcPr>
          <w:p>
            <w:pPr>
              <w:ind w:left="20"/>
              <w:spacing w:after="0"/>
              <w:rPr>
                <w:sz w:val="20"/>
                <w:szCs w:val="20"/>
                <w:color w:val="auto"/>
              </w:rPr>
            </w:pPr>
            <w:r>
              <w:rPr>
                <w:rFonts w:ascii="Arial" w:cs="Arial" w:eastAsia="Arial" w:hAnsi="Arial"/>
                <w:sz w:val="13"/>
                <w:szCs w:val="13"/>
                <w:b w:val="1"/>
                <w:bCs w:val="1"/>
                <w:color w:val="auto"/>
              </w:rPr>
              <w:t>Income (loss) before income taxes</w:t>
            </w: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(432,202)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(96.1)%</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133,105</w:t>
            </w:r>
          </w:p>
        </w:tc>
        <w:tc>
          <w:tcPr>
            <w:tcW w:w="80" w:type="dxa"/>
            <w:vAlign w:val="bottom"/>
          </w:tcPr>
          <w:p>
            <w:pPr>
              <w:spacing w:after="0"/>
              <w:rPr>
                <w:sz w:val="15"/>
                <w:szCs w:val="15"/>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29.8 %</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(565,307)</w:t>
            </w:r>
          </w:p>
        </w:tc>
        <w:tc>
          <w:tcPr>
            <w:tcW w:w="100" w:type="dxa"/>
            <w:vAlign w:val="bottom"/>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(424.7)%</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6"/>
                <w:szCs w:val="16"/>
                <w:color w:val="auto"/>
              </w:rPr>
              <w:t>_________________________</w:t>
            </w: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408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4"/>
        </w:trPr>
        <w:tc>
          <w:tcPr>
            <w:tcW w:w="4080" w:type="dxa"/>
            <w:vAlign w:val="bottom"/>
          </w:tcPr>
          <w:p>
            <w:pPr>
              <w:spacing w:after="0"/>
              <w:rPr>
                <w:sz w:val="20"/>
                <w:szCs w:val="20"/>
                <w:color w:val="auto"/>
              </w:rPr>
            </w:pPr>
            <w:r>
              <w:rPr>
                <w:rFonts w:ascii="Arial" w:cs="Arial" w:eastAsia="Arial" w:hAnsi="Arial"/>
                <w:sz w:val="13"/>
                <w:szCs w:val="13"/>
                <w:i w:val="1"/>
                <w:iCs w:val="1"/>
                <w:color w:val="auto"/>
              </w:rPr>
              <w:t>NM = Not meaningful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35"/>
        </w:trPr>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jc w:val="right"/>
              <w:ind w:right="17"/>
              <w:spacing w:after="0"/>
              <w:rPr>
                <w:sz w:val="20"/>
                <w:szCs w:val="20"/>
                <w:color w:val="auto"/>
              </w:rPr>
            </w:pPr>
            <w:r>
              <w:rPr>
                <w:rFonts w:ascii="Arial" w:cs="Arial" w:eastAsia="Arial" w:hAnsi="Arial"/>
                <w:sz w:val="13"/>
                <w:szCs w:val="13"/>
                <w:b w:val="1"/>
                <w:bCs w:val="1"/>
                <w:color w:val="auto"/>
                <w:w w:val="95"/>
              </w:rPr>
              <w:t>Twelve months ended Dec. 31, 2021</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13"/>
                <w:szCs w:val="13"/>
                <w:b w:val="1"/>
                <w:bCs w:val="1"/>
                <w:color w:val="auto"/>
                <w:w w:val="94"/>
              </w:rPr>
              <w:t>Twelve months ended Dec. 31, 2020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080" w:type="dxa"/>
            <w:vAlign w:val="bottom"/>
            <w:vMerge w:val="restart"/>
          </w:tcPr>
          <w:p>
            <w:pPr>
              <w:ind w:left="20"/>
              <w:spacing w:after="0"/>
              <w:rPr>
                <w:sz w:val="20"/>
                <w:szCs w:val="20"/>
                <w:color w:val="auto"/>
              </w:rPr>
            </w:pPr>
            <w:r>
              <w:rPr>
                <w:rFonts w:ascii="Arial" w:cs="Arial" w:eastAsia="Arial" w:hAnsi="Arial"/>
                <w:sz w:val="13"/>
                <w:szCs w:val="13"/>
                <w:color w:val="auto"/>
              </w:rPr>
              <w:t>(in thousands, except percentages)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3"/>
            <w:vMerge w:val="restart"/>
          </w:tcPr>
          <w:p>
            <w:pPr>
              <w:ind w:left="240"/>
              <w:spacing w:after="0"/>
              <w:rPr>
                <w:sz w:val="20"/>
                <w:szCs w:val="20"/>
                <w:color w:val="auto"/>
              </w:rPr>
            </w:pPr>
            <w:r>
              <w:rPr>
                <w:rFonts w:ascii="Arial" w:cs="Arial" w:eastAsia="Arial" w:hAnsi="Arial"/>
                <w:sz w:val="13"/>
                <w:szCs w:val="13"/>
                <w:b w:val="1"/>
                <w:bCs w:val="1"/>
                <w:color w:val="auto"/>
              </w:rPr>
              <w:t>Dollars</w:t>
            </w:r>
          </w:p>
        </w:tc>
        <w:tc>
          <w:tcPr>
            <w:tcW w:w="20" w:type="dxa"/>
            <w:vAlign w:val="bottom"/>
          </w:tcPr>
          <w:p>
            <w:pPr>
              <w:spacing w:after="0"/>
              <w:rPr>
                <w:sz w:val="10"/>
                <w:szCs w:val="10"/>
                <w:color w:val="auto"/>
              </w:rPr>
            </w:pPr>
          </w:p>
        </w:tc>
        <w:tc>
          <w:tcPr>
            <w:tcW w:w="11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 of Net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Dollars</w:t>
            </w:r>
          </w:p>
        </w:tc>
        <w:tc>
          <w:tcPr>
            <w:tcW w:w="12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 of Net Revenues</w:t>
            </w:r>
          </w:p>
        </w:tc>
        <w:tc>
          <w:tcPr>
            <w:tcW w:w="160" w:type="dxa"/>
            <w:vAlign w:val="bottom"/>
          </w:tcPr>
          <w:p>
            <w:pPr>
              <w:spacing w:after="0"/>
              <w:rPr>
                <w:sz w:val="10"/>
                <w:szCs w:val="10"/>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 Change</w:t>
            </w:r>
          </w:p>
        </w:tc>
        <w:tc>
          <w:tcPr>
            <w:tcW w:w="116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72"/>
        </w:trPr>
        <w:tc>
          <w:tcPr>
            <w:tcW w:w="40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Revenues</w:t>
            </w: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080" w:type="dxa"/>
            <w:vAlign w:val="bottom"/>
          </w:tcPr>
          <w:p>
            <w:pPr>
              <w:ind w:left="240"/>
              <w:spacing w:after="0"/>
              <w:rPr>
                <w:sz w:val="20"/>
                <w:szCs w:val="20"/>
                <w:color w:val="auto"/>
              </w:rPr>
            </w:pPr>
            <w:r>
              <w:rPr>
                <w:rFonts w:ascii="Arial" w:cs="Arial" w:eastAsia="Arial" w:hAnsi="Arial"/>
                <w:sz w:val="13"/>
                <w:szCs w:val="13"/>
                <w:color w:val="auto"/>
              </w:rPr>
              <w:t>Medicare - Internal</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844,894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79.5 %</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667,293</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76.1 %</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177,601</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26.6 %</w:t>
            </w:r>
          </w:p>
        </w:tc>
        <w:tc>
          <w:tcPr>
            <w:tcW w:w="0" w:type="dxa"/>
            <w:vAlign w:val="bottom"/>
          </w:tcPr>
          <w:p>
            <w:pPr>
              <w:spacing w:after="0"/>
              <w:rPr>
                <w:sz w:val="1"/>
                <w:szCs w:val="1"/>
                <w:color w:val="auto"/>
              </w:rPr>
            </w:pPr>
          </w:p>
        </w:tc>
      </w:tr>
      <w:tr>
        <w:trPr>
          <w:trHeight w:val="183"/>
        </w:trPr>
        <w:tc>
          <w:tcPr>
            <w:tcW w:w="40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Medicare - External</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189,563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17.8 %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155,660</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33,903</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21.8 %</w:t>
            </w:r>
          </w:p>
        </w:tc>
        <w:tc>
          <w:tcPr>
            <w:tcW w:w="0" w:type="dxa"/>
            <w:vAlign w:val="bottom"/>
          </w:tcPr>
          <w:p>
            <w:pPr>
              <w:spacing w:after="0"/>
              <w:rPr>
                <w:sz w:val="1"/>
                <w:szCs w:val="1"/>
                <w:color w:val="auto"/>
              </w:rPr>
            </w:pPr>
          </w:p>
        </w:tc>
      </w:tr>
      <w:tr>
        <w:trPr>
          <w:trHeight w:val="168"/>
        </w:trPr>
        <w:tc>
          <w:tcPr>
            <w:tcW w:w="4080" w:type="dxa"/>
            <w:vAlign w:val="bottom"/>
          </w:tcPr>
          <w:p>
            <w:pPr>
              <w:ind w:left="240"/>
              <w:spacing w:after="0"/>
              <w:rPr>
                <w:sz w:val="20"/>
                <w:szCs w:val="20"/>
                <w:color w:val="auto"/>
              </w:rPr>
            </w:pPr>
            <w:r>
              <w:rPr>
                <w:rFonts w:ascii="Arial" w:cs="Arial" w:eastAsia="Arial" w:hAnsi="Arial"/>
                <w:sz w:val="13"/>
                <w:szCs w:val="13"/>
                <w:color w:val="auto"/>
              </w:rPr>
              <w:t>IFP and Other - Internal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19,687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1.9 %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32,271</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3.7 %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(12,584)</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(39.0)%</w:t>
            </w:r>
          </w:p>
        </w:tc>
        <w:tc>
          <w:tcPr>
            <w:tcW w:w="0" w:type="dxa"/>
            <w:vAlign w:val="bottom"/>
          </w:tcPr>
          <w:p>
            <w:pPr>
              <w:spacing w:after="0"/>
              <w:rPr>
                <w:sz w:val="1"/>
                <w:szCs w:val="1"/>
                <w:color w:val="auto"/>
              </w:rPr>
            </w:pPr>
          </w:p>
        </w:tc>
      </w:tr>
      <w:tr>
        <w:trPr>
          <w:trHeight w:val="183"/>
        </w:trPr>
        <w:tc>
          <w:tcPr>
            <w:tcW w:w="40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IFP and Other - External</w:t>
            </w: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8,271</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0.8 %</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22,126</w:t>
            </w:r>
          </w:p>
        </w:tc>
        <w:tc>
          <w:tcPr>
            <w:tcW w:w="8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2.5 %</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(13,855)</w:t>
            </w:r>
          </w:p>
        </w:tc>
        <w:tc>
          <w:tcPr>
            <w:tcW w:w="10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(62.6)%</w:t>
            </w:r>
          </w:p>
        </w:tc>
        <w:tc>
          <w:tcPr>
            <w:tcW w:w="0" w:type="dxa"/>
            <w:vAlign w:val="bottom"/>
          </w:tcPr>
          <w:p>
            <w:pPr>
              <w:spacing w:after="0"/>
              <w:rPr>
                <w:sz w:val="1"/>
                <w:szCs w:val="1"/>
                <w:color w:val="auto"/>
              </w:rPr>
            </w:pPr>
          </w:p>
        </w:tc>
      </w:tr>
      <w:tr>
        <w:trPr>
          <w:trHeight w:val="163"/>
        </w:trPr>
        <w:tc>
          <w:tcPr>
            <w:tcW w:w="4080" w:type="dxa"/>
            <w:vAlign w:val="bottom"/>
          </w:tcPr>
          <w:p>
            <w:pPr>
              <w:ind w:left="20"/>
              <w:spacing w:after="0"/>
              <w:rPr>
                <w:sz w:val="20"/>
                <w:szCs w:val="20"/>
                <w:color w:val="auto"/>
              </w:rPr>
            </w:pPr>
            <w:r>
              <w:rPr>
                <w:rFonts w:ascii="Arial" w:cs="Arial" w:eastAsia="Arial" w:hAnsi="Arial"/>
                <w:sz w:val="13"/>
                <w:szCs w:val="13"/>
                <w:color w:val="auto"/>
              </w:rPr>
              <w:t>Net revenues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1,062,415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877,350</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185,065</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21.1 %</w:t>
            </w:r>
          </w:p>
        </w:tc>
        <w:tc>
          <w:tcPr>
            <w:tcW w:w="0" w:type="dxa"/>
            <w:vAlign w:val="bottom"/>
          </w:tcPr>
          <w:p>
            <w:pPr>
              <w:spacing w:after="0"/>
              <w:rPr>
                <w:sz w:val="1"/>
                <w:szCs w:val="1"/>
                <w:color w:val="auto"/>
              </w:rPr>
            </w:pPr>
          </w:p>
        </w:tc>
      </w:tr>
      <w:tr>
        <w:trPr>
          <w:trHeight w:val="162"/>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i w:val="1"/>
                <w:iCs w:val="1"/>
                <w:color w:val="auto"/>
              </w:rPr>
              <w:t>Segment profit:</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tcPr>
          <w:p>
            <w:pPr>
              <w:ind w:left="240"/>
              <w:spacing w:after="0"/>
              <w:rPr>
                <w:sz w:val="20"/>
                <w:szCs w:val="20"/>
                <w:color w:val="auto"/>
              </w:rPr>
            </w:pPr>
            <w:r>
              <w:rPr>
                <w:rFonts w:ascii="Arial" w:cs="Arial" w:eastAsia="Arial" w:hAnsi="Arial"/>
                <w:sz w:val="13"/>
                <w:szCs w:val="13"/>
                <w:color w:val="auto"/>
              </w:rPr>
              <w:t>Medicare - Internal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84,345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7.9 %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296,865</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33.8 %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(212,520)</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(71.6)%</w:t>
            </w:r>
          </w:p>
        </w:tc>
        <w:tc>
          <w:tcPr>
            <w:tcW w:w="0" w:type="dxa"/>
            <w:vAlign w:val="bottom"/>
          </w:tcPr>
          <w:p>
            <w:pPr>
              <w:spacing w:after="0"/>
              <w:rPr>
                <w:sz w:val="1"/>
                <w:szCs w:val="1"/>
                <w:color w:val="auto"/>
              </w:rPr>
            </w:pPr>
          </w:p>
        </w:tc>
      </w:tr>
      <w:tr>
        <w:trPr>
          <w:trHeight w:val="183"/>
        </w:trPr>
        <w:tc>
          <w:tcPr>
            <w:tcW w:w="40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Medicare - External</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0.2 %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5,944</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(3,322)</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(55.9)%</w:t>
            </w:r>
          </w:p>
        </w:tc>
        <w:tc>
          <w:tcPr>
            <w:tcW w:w="0" w:type="dxa"/>
            <w:vAlign w:val="bottom"/>
          </w:tcPr>
          <w:p>
            <w:pPr>
              <w:spacing w:after="0"/>
              <w:rPr>
                <w:sz w:val="1"/>
                <w:szCs w:val="1"/>
                <w:color w:val="auto"/>
              </w:rPr>
            </w:pPr>
          </w:p>
        </w:tc>
      </w:tr>
      <w:tr>
        <w:trPr>
          <w:trHeight w:val="168"/>
        </w:trPr>
        <w:tc>
          <w:tcPr>
            <w:tcW w:w="4080" w:type="dxa"/>
            <w:vAlign w:val="bottom"/>
          </w:tcPr>
          <w:p>
            <w:pPr>
              <w:ind w:left="240"/>
              <w:spacing w:after="0"/>
              <w:rPr>
                <w:sz w:val="20"/>
                <w:szCs w:val="20"/>
                <w:color w:val="auto"/>
              </w:rPr>
            </w:pPr>
            <w:r>
              <w:rPr>
                <w:rFonts w:ascii="Arial" w:cs="Arial" w:eastAsia="Arial" w:hAnsi="Arial"/>
                <w:sz w:val="13"/>
                <w:szCs w:val="13"/>
                <w:color w:val="auto"/>
              </w:rPr>
              <w:t>IFP and Other - Internal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2,819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0.3 %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4,269</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0.5 %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(1,450)</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(34.0)%</w:t>
            </w:r>
          </w:p>
        </w:tc>
        <w:tc>
          <w:tcPr>
            <w:tcW w:w="0" w:type="dxa"/>
            <w:vAlign w:val="bottom"/>
          </w:tcPr>
          <w:p>
            <w:pPr>
              <w:spacing w:after="0"/>
              <w:rPr>
                <w:sz w:val="1"/>
                <w:szCs w:val="1"/>
                <w:color w:val="auto"/>
              </w:rPr>
            </w:pPr>
          </w:p>
        </w:tc>
      </w:tr>
      <w:tr>
        <w:trPr>
          <w:trHeight w:val="183"/>
        </w:trPr>
        <w:tc>
          <w:tcPr>
            <w:tcW w:w="40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IFP and Other - External</w:t>
            </w: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245</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1,910</w:t>
            </w:r>
          </w:p>
        </w:tc>
        <w:tc>
          <w:tcPr>
            <w:tcW w:w="8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0.2 %</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(1,665)</w:t>
            </w:r>
          </w:p>
        </w:tc>
        <w:tc>
          <w:tcPr>
            <w:tcW w:w="10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(87.2)%</w:t>
            </w:r>
          </w:p>
        </w:tc>
        <w:tc>
          <w:tcPr>
            <w:tcW w:w="0" w:type="dxa"/>
            <w:vAlign w:val="bottom"/>
          </w:tcPr>
          <w:p>
            <w:pPr>
              <w:spacing w:after="0"/>
              <w:rPr>
                <w:sz w:val="1"/>
                <w:szCs w:val="1"/>
                <w:color w:val="auto"/>
              </w:rPr>
            </w:pPr>
          </w:p>
        </w:tc>
      </w:tr>
      <w:tr>
        <w:trPr>
          <w:trHeight w:val="163"/>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Segment profit</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90,031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8.5 %</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308,988</w:t>
            </w:r>
          </w:p>
        </w:tc>
        <w:tc>
          <w:tcPr>
            <w:tcW w:w="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35.2 %</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(218,957)</w:t>
            </w: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(70.9)%</w:t>
            </w:r>
          </w:p>
        </w:tc>
        <w:tc>
          <w:tcPr>
            <w:tcW w:w="0" w:type="dxa"/>
            <w:vAlign w:val="bottom"/>
          </w:tcPr>
          <w:p>
            <w:pPr>
              <w:spacing w:after="0"/>
              <w:rPr>
                <w:sz w:val="1"/>
                <w:szCs w:val="1"/>
                <w:color w:val="auto"/>
              </w:rPr>
            </w:pPr>
          </w:p>
        </w:tc>
      </w:tr>
      <w:tr>
        <w:trPr>
          <w:trHeight w:val="175"/>
        </w:trPr>
        <w:tc>
          <w:tcPr>
            <w:tcW w:w="40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Corporate expense</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98,869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9.3 %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259,778</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(160,909)</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(61.9)%</w:t>
            </w:r>
          </w:p>
        </w:tc>
        <w:tc>
          <w:tcPr>
            <w:tcW w:w="0" w:type="dxa"/>
            <w:vAlign w:val="bottom"/>
          </w:tcPr>
          <w:p>
            <w:pPr>
              <w:spacing w:after="0"/>
              <w:rPr>
                <w:sz w:val="1"/>
                <w:szCs w:val="1"/>
                <w:color w:val="auto"/>
              </w:rPr>
            </w:pPr>
          </w:p>
        </w:tc>
      </w:tr>
      <w:tr>
        <w:trPr>
          <w:trHeight w:val="167"/>
        </w:trPr>
        <w:tc>
          <w:tcPr>
            <w:tcW w:w="4080" w:type="dxa"/>
            <w:vAlign w:val="bottom"/>
          </w:tcPr>
          <w:p>
            <w:pPr>
              <w:ind w:left="240"/>
              <w:spacing w:after="0"/>
              <w:rPr>
                <w:sz w:val="20"/>
                <w:szCs w:val="20"/>
                <w:color w:val="auto"/>
              </w:rPr>
            </w:pPr>
            <w:r>
              <w:rPr>
                <w:rFonts w:ascii="Arial" w:cs="Arial" w:eastAsia="Arial" w:hAnsi="Arial"/>
                <w:sz w:val="13"/>
                <w:szCs w:val="13"/>
                <w:color w:val="auto"/>
              </w:rPr>
              <w:t>Change in fair value of contingent consideration liability</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19,700</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2.2 %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(19,700)</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84"/>
        </w:trPr>
        <w:tc>
          <w:tcPr>
            <w:tcW w:w="40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Amortization of intangible assets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94,056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8.9 %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94,056</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68"/>
        </w:trPr>
        <w:tc>
          <w:tcPr>
            <w:tcW w:w="4080" w:type="dxa"/>
            <w:vAlign w:val="bottom"/>
          </w:tcPr>
          <w:p>
            <w:pPr>
              <w:ind w:left="240"/>
              <w:spacing w:after="0"/>
              <w:rPr>
                <w:sz w:val="20"/>
                <w:szCs w:val="20"/>
                <w:color w:val="auto"/>
              </w:rPr>
            </w:pPr>
            <w:r>
              <w:rPr>
                <w:rFonts w:ascii="Arial" w:cs="Arial" w:eastAsia="Arial" w:hAnsi="Arial"/>
                <w:sz w:val="13"/>
                <w:szCs w:val="13"/>
                <w:color w:val="auto"/>
              </w:rPr>
              <w:t>Loss on extinguishment of debt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11,935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1.1 %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11,935</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84"/>
        </w:trPr>
        <w:tc>
          <w:tcPr>
            <w:tcW w:w="40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Goodwill impairment charges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386,553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36.4 %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386,553</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8"/>
        </w:trPr>
        <w:tc>
          <w:tcPr>
            <w:tcW w:w="4080" w:type="dxa"/>
            <w:vAlign w:val="bottom"/>
          </w:tcPr>
          <w:p>
            <w:pPr>
              <w:ind w:left="240"/>
              <w:spacing w:after="0"/>
              <w:rPr>
                <w:sz w:val="20"/>
                <w:szCs w:val="20"/>
                <w:color w:val="auto"/>
              </w:rPr>
            </w:pPr>
            <w:r>
              <w:rPr>
                <w:rFonts w:ascii="Arial" w:cs="Arial" w:eastAsia="Arial" w:hAnsi="Arial"/>
                <w:sz w:val="13"/>
                <w:szCs w:val="13"/>
                <w:color w:val="auto"/>
              </w:rPr>
              <w:t>Interest expense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33,505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3.2 %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32,969</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3.8 %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536</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1.6 %</w:t>
            </w:r>
          </w:p>
        </w:tc>
        <w:tc>
          <w:tcPr>
            <w:tcW w:w="0" w:type="dxa"/>
            <w:vAlign w:val="bottom"/>
          </w:tcPr>
          <w:p>
            <w:pPr>
              <w:spacing w:after="0"/>
              <w:rPr>
                <w:sz w:val="1"/>
                <w:szCs w:val="1"/>
                <w:color w:val="auto"/>
              </w:rPr>
            </w:pPr>
          </w:p>
        </w:tc>
      </w:tr>
      <w:tr>
        <w:trPr>
          <w:trHeight w:val="183"/>
        </w:trPr>
        <w:tc>
          <w:tcPr>
            <w:tcW w:w="40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(income) expense, net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86.9 %</w:t>
            </w:r>
          </w:p>
        </w:tc>
        <w:tc>
          <w:tcPr>
            <w:tcW w:w="0" w:type="dxa"/>
            <w:vAlign w:val="bottom"/>
          </w:tcPr>
          <w:p>
            <w:pPr>
              <w:spacing w:after="0"/>
              <w:rPr>
                <w:sz w:val="1"/>
                <w:szCs w:val="1"/>
                <w:color w:val="auto"/>
              </w:rPr>
            </w:pPr>
          </w:p>
        </w:tc>
      </w:tr>
      <w:tr>
        <w:trPr>
          <w:trHeight w:val="169"/>
        </w:trPr>
        <w:tc>
          <w:tcPr>
            <w:tcW w:w="4080" w:type="dxa"/>
            <w:vAlign w:val="bottom"/>
          </w:tcPr>
          <w:p>
            <w:pPr>
              <w:ind w:left="20"/>
              <w:spacing w:after="0"/>
              <w:rPr>
                <w:sz w:val="20"/>
                <w:szCs w:val="20"/>
                <w:color w:val="auto"/>
              </w:rPr>
            </w:pPr>
            <w:r>
              <w:rPr>
                <w:rFonts w:ascii="Arial" w:cs="Arial" w:eastAsia="Arial" w:hAnsi="Arial"/>
                <w:sz w:val="13"/>
                <w:szCs w:val="13"/>
                <w:b w:val="1"/>
                <w:bCs w:val="1"/>
                <w:color w:val="auto"/>
              </w:rPr>
              <w:t>Income (loss) before income taxes</w:t>
            </w:r>
          </w:p>
        </w:tc>
        <w:tc>
          <w:tcPr>
            <w:tcW w:w="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(534,218)</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(50.3)%</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(97,157)</w:t>
            </w:r>
          </w:p>
        </w:tc>
        <w:tc>
          <w:tcPr>
            <w:tcW w:w="80" w:type="dxa"/>
            <w:vAlign w:val="bottom"/>
          </w:tcPr>
          <w:p>
            <w:pPr>
              <w:spacing w:after="0"/>
              <w:rPr>
                <w:sz w:val="14"/>
                <w:szCs w:val="1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(11.1)%</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(437,061)</w:t>
            </w:r>
          </w:p>
        </w:tc>
        <w:tc>
          <w:tcPr>
            <w:tcW w:w="100" w:type="dxa"/>
            <w:vAlign w:val="bottom"/>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449.9 %</w:t>
            </w: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rPr>
          <w:sz w:val="20"/>
          <w:szCs w:val="20"/>
          <w:color w:val="auto"/>
        </w:rPr>
      </w:pPr>
      <w:r>
        <w:rPr>
          <w:rFonts w:ascii="Arial" w:cs="Arial" w:eastAsia="Arial" w:hAnsi="Arial"/>
          <w:sz w:val="13"/>
          <w:szCs w:val="13"/>
          <w:i w:val="1"/>
          <w:iCs w:val="1"/>
          <w:color w:val="auto"/>
        </w:rPr>
        <w:t>NM = Not meaningful</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789" w:right="339" w:bottom="1440" w:gutter="0" w:footer="0" w:header="0"/>
        </w:sectPr>
      </w:pPr>
    </w:p>
    <w:bookmarkStart w:id="14" w:name="page15"/>
    <w:bookmarkEnd w:id="14"/>
    <w:p>
      <w:pPr>
        <w:ind w:right="160"/>
        <w:spacing w:after="0" w:line="260" w:lineRule="auto"/>
        <w:rPr>
          <w:sz w:val="20"/>
          <w:szCs w:val="20"/>
          <w:color w:val="auto"/>
        </w:rPr>
      </w:pPr>
      <w:r>
        <w:rPr>
          <w:rFonts w:ascii="Arial" w:cs="Arial" w:eastAsia="Arial" w:hAnsi="Arial"/>
          <w:sz w:val="16"/>
          <w:szCs w:val="16"/>
          <w:color w:val="auto"/>
        </w:rPr>
        <w:t>The following table presents the number of Submitted Policies by product for the Medicare segments for the three and twelve months ended December 31, 2021 and 2020, for those submissions that are commissionable (compensated through commissions received from carriers):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20" w:type="dxa"/>
            <w:vAlign w:val="bottom"/>
          </w:tcPr>
          <w:p>
            <w:pPr>
              <w:spacing w:after="0"/>
              <w:rPr>
                <w:sz w:val="13"/>
                <w:szCs w:val="13"/>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Three months</w:t>
            </w:r>
          </w:p>
        </w:tc>
        <w:tc>
          <w:tcPr>
            <w:tcW w:w="12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Three months</w:t>
            </w:r>
          </w:p>
        </w:tc>
        <w:tc>
          <w:tcPr>
            <w:tcW w:w="12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Twelve months</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5"/>
              </w:rPr>
              <w:t>Twelve months</w:t>
            </w:r>
          </w:p>
        </w:tc>
      </w:tr>
      <w:tr>
        <w:trPr>
          <w:trHeight w:val="122"/>
        </w:trPr>
        <w:tc>
          <w:tcPr>
            <w:tcW w:w="6520" w:type="dxa"/>
            <w:vAlign w:val="bottom"/>
          </w:tcPr>
          <w:p>
            <w:pPr>
              <w:spacing w:after="0"/>
              <w:rPr>
                <w:sz w:val="10"/>
                <w:szCs w:val="10"/>
                <w:color w:val="auto"/>
              </w:rPr>
            </w:pPr>
          </w:p>
        </w:tc>
        <w:tc>
          <w:tcPr>
            <w:tcW w:w="120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12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120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11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ended Dec. 31,</w:t>
            </w:r>
          </w:p>
        </w:tc>
      </w:tr>
      <w:tr>
        <w:trPr>
          <w:trHeight w:val="172"/>
        </w:trPr>
        <w:tc>
          <w:tcPr>
            <w:tcW w:w="65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r>
      <w:tr>
        <w:trPr>
          <w:trHeight w:val="173"/>
        </w:trPr>
        <w:tc>
          <w:tcPr>
            <w:tcW w:w="6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Medicare Advantage</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669,079</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330,604</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1,190,530</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644,669</w:t>
            </w:r>
          </w:p>
        </w:tc>
      </w:tr>
      <w:tr>
        <w:trPr>
          <w:trHeight w:val="168"/>
        </w:trPr>
        <w:tc>
          <w:tcPr>
            <w:tcW w:w="6520" w:type="dxa"/>
            <w:vAlign w:val="bottom"/>
          </w:tcPr>
          <w:p>
            <w:pPr>
              <w:ind w:left="20"/>
              <w:spacing w:after="0"/>
              <w:rPr>
                <w:sz w:val="20"/>
                <w:szCs w:val="20"/>
                <w:color w:val="auto"/>
              </w:rPr>
            </w:pPr>
            <w:r>
              <w:rPr>
                <w:rFonts w:ascii="Arial" w:cs="Arial" w:eastAsia="Arial" w:hAnsi="Arial"/>
                <w:sz w:val="13"/>
                <w:szCs w:val="13"/>
                <w:color w:val="auto"/>
              </w:rPr>
              <w:t>Medicare Supplement</w:t>
            </w:r>
          </w:p>
        </w:tc>
        <w:tc>
          <w:tcPr>
            <w:tcW w:w="1120" w:type="dxa"/>
            <w:vAlign w:val="bottom"/>
          </w:tcPr>
          <w:p>
            <w:pPr>
              <w:jc w:val="right"/>
              <w:spacing w:after="0"/>
              <w:rPr>
                <w:sz w:val="20"/>
                <w:szCs w:val="20"/>
                <w:color w:val="auto"/>
              </w:rPr>
            </w:pPr>
            <w:r>
              <w:rPr>
                <w:rFonts w:ascii="Arial" w:cs="Arial" w:eastAsia="Arial" w:hAnsi="Arial"/>
                <w:sz w:val="13"/>
                <w:szCs w:val="13"/>
                <w:color w:val="auto"/>
              </w:rPr>
              <w:t>1,631</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2,955</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4,508</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9,119</w:t>
            </w:r>
          </w:p>
        </w:tc>
      </w:tr>
      <w:tr>
        <w:trPr>
          <w:trHeight w:val="177"/>
        </w:trPr>
        <w:tc>
          <w:tcPr>
            <w:tcW w:w="6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Prescription Drug Plans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34,762</w:t>
            </w:r>
          </w:p>
        </w:tc>
        <w:tc>
          <w:tcPr>
            <w:tcW w:w="8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10,293</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42,469</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16,762</w:t>
            </w:r>
          </w:p>
        </w:tc>
      </w:tr>
      <w:tr>
        <w:trPr>
          <w:trHeight w:val="176"/>
        </w:trPr>
        <w:tc>
          <w:tcPr>
            <w:tcW w:w="6520" w:type="dxa"/>
            <w:vAlign w:val="bottom"/>
          </w:tcPr>
          <w:p>
            <w:pPr>
              <w:ind w:left="20"/>
              <w:spacing w:after="0"/>
              <w:rPr>
                <w:sz w:val="20"/>
                <w:szCs w:val="20"/>
                <w:color w:val="auto"/>
              </w:rPr>
            </w:pPr>
            <w:r>
              <w:rPr>
                <w:rFonts w:ascii="Arial" w:cs="Arial" w:eastAsia="Arial" w:hAnsi="Arial"/>
                <w:sz w:val="13"/>
                <w:szCs w:val="13"/>
                <w:b w:val="1"/>
                <w:bCs w:val="1"/>
                <w:color w:val="auto"/>
              </w:rPr>
              <w:t>Total Medicare - Commissionable Submitted Policies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705,472</w:t>
            </w:r>
          </w:p>
        </w:tc>
        <w:tc>
          <w:tcPr>
            <w:tcW w:w="8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343,852</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1,237,507</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670,550</w:t>
            </w:r>
          </w:p>
        </w:tc>
      </w:tr>
      <w:tr>
        <w:trPr>
          <w:trHeight w:val="21"/>
        </w:trPr>
        <w:tc>
          <w:tcPr>
            <w:tcW w:w="65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The following tables present the number of Approved Submissions by product relating to commissionable policies for the Medicare segments for the three and twelve months ended December 31, 2021 and 2020. Only commissionable policies are used to calculate our LTV.</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Medicare - Internal</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20" w:type="dxa"/>
            <w:vAlign w:val="bottom"/>
          </w:tcPr>
          <w:p>
            <w:pPr>
              <w:spacing w:after="0"/>
              <w:rPr>
                <w:sz w:val="13"/>
                <w:szCs w:val="13"/>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Three months</w:t>
            </w:r>
          </w:p>
        </w:tc>
        <w:tc>
          <w:tcPr>
            <w:tcW w:w="12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Three months</w:t>
            </w:r>
          </w:p>
        </w:tc>
        <w:tc>
          <w:tcPr>
            <w:tcW w:w="12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Twelve months</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5"/>
              </w:rPr>
              <w:t>Twelve months</w:t>
            </w:r>
          </w:p>
        </w:tc>
      </w:tr>
      <w:tr>
        <w:trPr>
          <w:trHeight w:val="121"/>
        </w:trPr>
        <w:tc>
          <w:tcPr>
            <w:tcW w:w="6520" w:type="dxa"/>
            <w:vAlign w:val="bottom"/>
          </w:tcPr>
          <w:p>
            <w:pPr>
              <w:spacing w:after="0"/>
              <w:rPr>
                <w:sz w:val="10"/>
                <w:szCs w:val="10"/>
                <w:color w:val="auto"/>
              </w:rPr>
            </w:pPr>
          </w:p>
        </w:tc>
        <w:tc>
          <w:tcPr>
            <w:tcW w:w="120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12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120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11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ended Dec. 31,</w:t>
            </w:r>
          </w:p>
        </w:tc>
      </w:tr>
      <w:tr>
        <w:trPr>
          <w:trHeight w:val="172"/>
        </w:trPr>
        <w:tc>
          <w:tcPr>
            <w:tcW w:w="65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r>
      <w:tr>
        <w:trPr>
          <w:trHeight w:val="173"/>
        </w:trPr>
        <w:tc>
          <w:tcPr>
            <w:tcW w:w="6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Medicare Advantage</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508,004</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250,251</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903,808</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478,863</w:t>
            </w:r>
          </w:p>
        </w:tc>
      </w:tr>
      <w:tr>
        <w:trPr>
          <w:trHeight w:val="168"/>
        </w:trPr>
        <w:tc>
          <w:tcPr>
            <w:tcW w:w="6520" w:type="dxa"/>
            <w:vAlign w:val="bottom"/>
          </w:tcPr>
          <w:p>
            <w:pPr>
              <w:ind w:left="20"/>
              <w:spacing w:after="0"/>
              <w:rPr>
                <w:sz w:val="20"/>
                <w:szCs w:val="20"/>
                <w:color w:val="auto"/>
              </w:rPr>
            </w:pPr>
            <w:r>
              <w:rPr>
                <w:rFonts w:ascii="Arial" w:cs="Arial" w:eastAsia="Arial" w:hAnsi="Arial"/>
                <w:sz w:val="13"/>
                <w:szCs w:val="13"/>
                <w:color w:val="auto"/>
              </w:rPr>
              <w:t>Medicare Supplement</w:t>
            </w:r>
          </w:p>
        </w:tc>
        <w:tc>
          <w:tcPr>
            <w:tcW w:w="1120" w:type="dxa"/>
            <w:vAlign w:val="bottom"/>
          </w:tcPr>
          <w:p>
            <w:pPr>
              <w:jc w:val="right"/>
              <w:spacing w:after="0"/>
              <w:rPr>
                <w:sz w:val="20"/>
                <w:szCs w:val="20"/>
                <w:color w:val="auto"/>
              </w:rPr>
            </w:pPr>
            <w:r>
              <w:rPr>
                <w:rFonts w:ascii="Arial" w:cs="Arial" w:eastAsia="Arial" w:hAnsi="Arial"/>
                <w:sz w:val="13"/>
                <w:szCs w:val="13"/>
                <w:color w:val="auto"/>
              </w:rPr>
              <w:t>527</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1,514</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1,229</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3,116</w:t>
            </w:r>
          </w:p>
        </w:tc>
      </w:tr>
      <w:tr>
        <w:trPr>
          <w:trHeight w:val="177"/>
        </w:trPr>
        <w:tc>
          <w:tcPr>
            <w:tcW w:w="6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Prescription Drug Plans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17,481</w:t>
            </w:r>
          </w:p>
        </w:tc>
        <w:tc>
          <w:tcPr>
            <w:tcW w:w="8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8,263</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24,006</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13,582</w:t>
            </w:r>
          </w:p>
        </w:tc>
      </w:tr>
      <w:tr>
        <w:trPr>
          <w:trHeight w:val="176"/>
        </w:trPr>
        <w:tc>
          <w:tcPr>
            <w:tcW w:w="6520" w:type="dxa"/>
            <w:vAlign w:val="bottom"/>
          </w:tcPr>
          <w:p>
            <w:pPr>
              <w:ind w:left="20"/>
              <w:spacing w:after="0"/>
              <w:rPr>
                <w:sz w:val="20"/>
                <w:szCs w:val="20"/>
                <w:color w:val="auto"/>
              </w:rPr>
            </w:pPr>
            <w:r>
              <w:rPr>
                <w:rFonts w:ascii="Arial" w:cs="Arial" w:eastAsia="Arial" w:hAnsi="Arial"/>
                <w:sz w:val="13"/>
                <w:szCs w:val="13"/>
                <w:b w:val="1"/>
                <w:bCs w:val="1"/>
                <w:color w:val="auto"/>
              </w:rPr>
              <w:t>Total Medicare - Internal Commissionable Approved Submissions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526,012</w:t>
            </w:r>
          </w:p>
        </w:tc>
        <w:tc>
          <w:tcPr>
            <w:tcW w:w="8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260,028</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929,043</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495,561</w:t>
            </w:r>
          </w:p>
        </w:tc>
      </w:tr>
      <w:tr>
        <w:trPr>
          <w:trHeight w:val="20"/>
        </w:trPr>
        <w:tc>
          <w:tcPr>
            <w:tcW w:w="65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Medicare - External</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20" w:type="dxa"/>
            <w:vAlign w:val="bottom"/>
          </w:tcPr>
          <w:p>
            <w:pPr>
              <w:spacing w:after="0"/>
              <w:rPr>
                <w:sz w:val="13"/>
                <w:szCs w:val="13"/>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Three months</w:t>
            </w:r>
          </w:p>
        </w:tc>
        <w:tc>
          <w:tcPr>
            <w:tcW w:w="12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Three months</w:t>
            </w:r>
          </w:p>
        </w:tc>
        <w:tc>
          <w:tcPr>
            <w:tcW w:w="12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Twelve months</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5"/>
              </w:rPr>
              <w:t>Twelve months</w:t>
            </w:r>
          </w:p>
        </w:tc>
      </w:tr>
      <w:tr>
        <w:trPr>
          <w:trHeight w:val="122"/>
        </w:trPr>
        <w:tc>
          <w:tcPr>
            <w:tcW w:w="6520" w:type="dxa"/>
            <w:vAlign w:val="bottom"/>
          </w:tcPr>
          <w:p>
            <w:pPr>
              <w:spacing w:after="0"/>
              <w:rPr>
                <w:sz w:val="10"/>
                <w:szCs w:val="10"/>
                <w:color w:val="auto"/>
              </w:rPr>
            </w:pPr>
          </w:p>
        </w:tc>
        <w:tc>
          <w:tcPr>
            <w:tcW w:w="120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12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120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11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ended Dec. 31,</w:t>
            </w:r>
          </w:p>
        </w:tc>
      </w:tr>
      <w:tr>
        <w:trPr>
          <w:trHeight w:val="172"/>
        </w:trPr>
        <w:tc>
          <w:tcPr>
            <w:tcW w:w="65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r>
      <w:tr>
        <w:trPr>
          <w:trHeight w:val="173"/>
        </w:trPr>
        <w:tc>
          <w:tcPr>
            <w:tcW w:w="6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Medicare Advantage</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145,616</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77,669</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266,795</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158,325</w:t>
            </w:r>
          </w:p>
        </w:tc>
      </w:tr>
      <w:tr>
        <w:trPr>
          <w:trHeight w:val="168"/>
        </w:trPr>
        <w:tc>
          <w:tcPr>
            <w:tcW w:w="6520" w:type="dxa"/>
            <w:vAlign w:val="bottom"/>
          </w:tcPr>
          <w:p>
            <w:pPr>
              <w:ind w:left="20"/>
              <w:spacing w:after="0"/>
              <w:rPr>
                <w:sz w:val="20"/>
                <w:szCs w:val="20"/>
                <w:color w:val="auto"/>
              </w:rPr>
            </w:pPr>
            <w:r>
              <w:rPr>
                <w:rFonts w:ascii="Arial" w:cs="Arial" w:eastAsia="Arial" w:hAnsi="Arial"/>
                <w:sz w:val="13"/>
                <w:szCs w:val="13"/>
                <w:color w:val="auto"/>
              </w:rPr>
              <w:t>Medicare Supplement</w:t>
            </w:r>
          </w:p>
        </w:tc>
        <w:tc>
          <w:tcPr>
            <w:tcW w:w="1120" w:type="dxa"/>
            <w:vAlign w:val="bottom"/>
          </w:tcPr>
          <w:p>
            <w:pPr>
              <w:jc w:val="right"/>
              <w:spacing w:after="0"/>
              <w:rPr>
                <w:sz w:val="20"/>
                <w:szCs w:val="20"/>
                <w:color w:val="auto"/>
              </w:rPr>
            </w:pPr>
            <w:r>
              <w:rPr>
                <w:rFonts w:ascii="Arial" w:cs="Arial" w:eastAsia="Arial" w:hAnsi="Arial"/>
                <w:sz w:val="13"/>
                <w:szCs w:val="13"/>
                <w:color w:val="auto"/>
              </w:rPr>
              <w:t>708</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1,219</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2,531</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5,254</w:t>
            </w:r>
          </w:p>
        </w:tc>
      </w:tr>
      <w:tr>
        <w:trPr>
          <w:trHeight w:val="177"/>
        </w:trPr>
        <w:tc>
          <w:tcPr>
            <w:tcW w:w="6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Prescription Drug Plans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11,628</w:t>
            </w:r>
          </w:p>
        </w:tc>
        <w:tc>
          <w:tcPr>
            <w:tcW w:w="8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1,798</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12,344</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3,036</w:t>
            </w:r>
          </w:p>
        </w:tc>
      </w:tr>
      <w:tr>
        <w:trPr>
          <w:trHeight w:val="176"/>
        </w:trPr>
        <w:tc>
          <w:tcPr>
            <w:tcW w:w="6520" w:type="dxa"/>
            <w:vAlign w:val="bottom"/>
          </w:tcPr>
          <w:p>
            <w:pPr>
              <w:ind w:left="20"/>
              <w:spacing w:after="0"/>
              <w:rPr>
                <w:sz w:val="20"/>
                <w:szCs w:val="20"/>
                <w:color w:val="auto"/>
              </w:rPr>
            </w:pPr>
            <w:r>
              <w:rPr>
                <w:rFonts w:ascii="Arial" w:cs="Arial" w:eastAsia="Arial" w:hAnsi="Arial"/>
                <w:sz w:val="13"/>
                <w:szCs w:val="13"/>
                <w:b w:val="1"/>
                <w:bCs w:val="1"/>
                <w:color w:val="auto"/>
              </w:rPr>
              <w:t>Total Medicare - External Commissionable Approved Submissions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157,952</w:t>
            </w:r>
          </w:p>
        </w:tc>
        <w:tc>
          <w:tcPr>
            <w:tcW w:w="8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80,686</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281,670</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166,615</w:t>
            </w:r>
          </w:p>
        </w:tc>
      </w:tr>
      <w:tr>
        <w:trPr>
          <w:trHeight w:val="21"/>
        </w:trPr>
        <w:tc>
          <w:tcPr>
            <w:tcW w:w="65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 following table presents the LTV per Approved Submission by product for the Medicare segments, adjusted for the impact of the Lookback Adjustments, for the three and twelve months ended December 31, 2021 and 2020:</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Three months</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Three months</w:t>
            </w:r>
          </w:p>
        </w:tc>
        <w:tc>
          <w:tcPr>
            <w:tcW w:w="80" w:type="dxa"/>
            <w:vAlign w:val="bottom"/>
          </w:tcPr>
          <w:p>
            <w:pPr>
              <w:spacing w:after="0"/>
              <w:rPr>
                <w:sz w:val="12"/>
                <w:szCs w:val="12"/>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Twelve months</w:t>
            </w:r>
          </w:p>
        </w:tc>
        <w:tc>
          <w:tcPr>
            <w:tcW w:w="80" w:type="dxa"/>
            <w:vAlign w:val="bottom"/>
          </w:tcPr>
          <w:p>
            <w:pPr>
              <w:spacing w:after="0"/>
              <w:rPr>
                <w:sz w:val="12"/>
                <w:szCs w:val="12"/>
                <w:color w:val="auto"/>
              </w:rPr>
            </w:pPr>
          </w:p>
        </w:tc>
        <w:tc>
          <w:tcPr>
            <w:tcW w:w="1020" w:type="dxa"/>
            <w:vAlign w:val="bottom"/>
          </w:tcPr>
          <w:p>
            <w:pPr>
              <w:jc w:val="center"/>
              <w:ind w:right="17"/>
              <w:spacing w:after="0"/>
              <w:rPr>
                <w:sz w:val="20"/>
                <w:szCs w:val="20"/>
                <w:color w:val="auto"/>
              </w:rPr>
            </w:pPr>
            <w:r>
              <w:rPr>
                <w:rFonts w:ascii="Arial" w:cs="Arial" w:eastAsia="Arial" w:hAnsi="Arial"/>
                <w:sz w:val="13"/>
                <w:szCs w:val="13"/>
                <w:b w:val="1"/>
                <w:bCs w:val="1"/>
                <w:color w:val="auto"/>
                <w:w w:val="95"/>
              </w:rPr>
              <w:t>Twelve months</w:t>
            </w:r>
          </w:p>
        </w:tc>
      </w:tr>
      <w:tr>
        <w:trPr>
          <w:trHeight w:val="122"/>
        </w:trPr>
        <w:tc>
          <w:tcPr>
            <w:tcW w:w="6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80" w:type="dxa"/>
            <w:vAlign w:val="bottom"/>
          </w:tcPr>
          <w:p>
            <w:pPr>
              <w:spacing w:after="0"/>
              <w:rPr>
                <w:sz w:val="10"/>
                <w:szCs w:val="10"/>
                <w:color w:val="auto"/>
              </w:rPr>
            </w:pPr>
          </w:p>
        </w:tc>
        <w:tc>
          <w:tcPr>
            <w:tcW w:w="112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80" w:type="dxa"/>
            <w:vAlign w:val="bottom"/>
          </w:tcPr>
          <w:p>
            <w:pPr>
              <w:spacing w:after="0"/>
              <w:rPr>
                <w:sz w:val="10"/>
                <w:szCs w:val="10"/>
                <w:color w:val="auto"/>
              </w:rPr>
            </w:pPr>
          </w:p>
        </w:tc>
        <w:tc>
          <w:tcPr>
            <w:tcW w:w="102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96"/>
              </w:rPr>
              <w:t>ended Dec. 31,</w:t>
            </w:r>
          </w:p>
        </w:tc>
      </w:tr>
      <w:tr>
        <w:trPr>
          <w:trHeight w:val="172"/>
        </w:trPr>
        <w:tc>
          <w:tcPr>
            <w:tcW w:w="6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6"/>
              </w:rPr>
              <w:t>2021</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6"/>
              </w:rPr>
              <w:t>2020</w:t>
            </w:r>
          </w:p>
        </w:tc>
      </w:tr>
      <w:tr>
        <w:trPr>
          <w:trHeight w:val="173"/>
        </w:trPr>
        <w:tc>
          <w:tcPr>
            <w:tcW w:w="6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Medicare Advantage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810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949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842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900</w:t>
            </w:r>
          </w:p>
        </w:tc>
      </w:tr>
      <w:tr>
        <w:trPr>
          <w:trHeight w:val="168"/>
        </w:trPr>
        <w:tc>
          <w:tcPr>
            <w:tcW w:w="6520" w:type="dxa"/>
            <w:vAlign w:val="bottom"/>
          </w:tcPr>
          <w:p>
            <w:pPr>
              <w:ind w:left="20"/>
              <w:spacing w:after="0"/>
              <w:rPr>
                <w:sz w:val="20"/>
                <w:szCs w:val="20"/>
                <w:color w:val="auto"/>
              </w:rPr>
            </w:pPr>
            <w:r>
              <w:rPr>
                <w:rFonts w:ascii="Arial" w:cs="Arial" w:eastAsia="Arial" w:hAnsi="Arial"/>
                <w:sz w:val="13"/>
                <w:szCs w:val="13"/>
                <w:color w:val="auto"/>
              </w:rPr>
              <w:t>Medicare Supplement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683</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934</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856</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849</w:t>
            </w:r>
          </w:p>
        </w:tc>
      </w:tr>
      <w:tr>
        <w:trPr>
          <w:trHeight w:val="184"/>
        </w:trPr>
        <w:tc>
          <w:tcPr>
            <w:tcW w:w="6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Prescription Drug Plans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215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215</w:t>
            </w:r>
          </w:p>
        </w:tc>
      </w:tr>
    </w:tbl>
    <w:p>
      <w:pPr>
        <w:spacing w:after="0" w:line="204"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The following table presents the number of Submitted Policies by product for the Medicare segments for the three and twelve months ended December 31, 2021 and 2020, for those submissions that are non-commissionable (compensated via hourly fees and enrollment fees) and do not result in commission revenue: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20" w:type="dxa"/>
            <w:vAlign w:val="bottom"/>
          </w:tcPr>
          <w:p>
            <w:pPr>
              <w:spacing w:after="0"/>
              <w:rPr>
                <w:sz w:val="12"/>
                <w:szCs w:val="12"/>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Three months</w:t>
            </w:r>
          </w:p>
        </w:tc>
        <w:tc>
          <w:tcPr>
            <w:tcW w:w="12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Three months</w:t>
            </w:r>
          </w:p>
        </w:tc>
        <w:tc>
          <w:tcPr>
            <w:tcW w:w="12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Twelve months</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5"/>
              </w:rPr>
              <w:t>Twelve months</w:t>
            </w:r>
          </w:p>
        </w:tc>
      </w:tr>
      <w:tr>
        <w:trPr>
          <w:trHeight w:val="121"/>
        </w:trPr>
        <w:tc>
          <w:tcPr>
            <w:tcW w:w="6520" w:type="dxa"/>
            <w:vAlign w:val="bottom"/>
          </w:tcPr>
          <w:p>
            <w:pPr>
              <w:spacing w:after="0"/>
              <w:rPr>
                <w:sz w:val="10"/>
                <w:szCs w:val="10"/>
                <w:color w:val="auto"/>
              </w:rPr>
            </w:pPr>
          </w:p>
        </w:tc>
        <w:tc>
          <w:tcPr>
            <w:tcW w:w="120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12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120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11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ended Dec. 31,</w:t>
            </w:r>
          </w:p>
        </w:tc>
      </w:tr>
      <w:tr>
        <w:trPr>
          <w:trHeight w:val="172"/>
        </w:trPr>
        <w:tc>
          <w:tcPr>
            <w:tcW w:w="65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r>
      <w:tr>
        <w:trPr>
          <w:trHeight w:val="173"/>
        </w:trPr>
        <w:tc>
          <w:tcPr>
            <w:tcW w:w="6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Medicare Advantage</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12,711</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23,993</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23,414</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44,799</w:t>
            </w:r>
          </w:p>
        </w:tc>
      </w:tr>
      <w:tr>
        <w:trPr>
          <w:trHeight w:val="168"/>
        </w:trPr>
        <w:tc>
          <w:tcPr>
            <w:tcW w:w="6520" w:type="dxa"/>
            <w:vAlign w:val="bottom"/>
          </w:tcPr>
          <w:p>
            <w:pPr>
              <w:ind w:left="20"/>
              <w:spacing w:after="0"/>
              <w:rPr>
                <w:sz w:val="20"/>
                <w:szCs w:val="20"/>
                <w:color w:val="auto"/>
              </w:rPr>
            </w:pPr>
            <w:r>
              <w:rPr>
                <w:rFonts w:ascii="Arial" w:cs="Arial" w:eastAsia="Arial" w:hAnsi="Arial"/>
                <w:sz w:val="13"/>
                <w:szCs w:val="13"/>
                <w:color w:val="auto"/>
              </w:rPr>
              <w:t>Medicare Supplement</w:t>
            </w:r>
          </w:p>
        </w:tc>
        <w:tc>
          <w:tcPr>
            <w:tcW w:w="1120" w:type="dxa"/>
            <w:vAlign w:val="bottom"/>
          </w:tcPr>
          <w:p>
            <w:pPr>
              <w:jc w:val="right"/>
              <w:spacing w:after="0"/>
              <w:rPr>
                <w:sz w:val="20"/>
                <w:szCs w:val="20"/>
                <w:color w:val="auto"/>
              </w:rPr>
            </w:pPr>
            <w:r>
              <w:rPr>
                <w:rFonts w:ascii="Arial" w:cs="Arial" w:eastAsia="Arial" w:hAnsi="Arial"/>
                <w:sz w:val="13"/>
                <w:szCs w:val="13"/>
                <w:color w:val="auto"/>
              </w:rPr>
              <w:t>3,223</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3,520</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8,242</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8,782</w:t>
            </w:r>
          </w:p>
        </w:tc>
      </w:tr>
      <w:tr>
        <w:trPr>
          <w:trHeight w:val="177"/>
        </w:trPr>
        <w:tc>
          <w:tcPr>
            <w:tcW w:w="6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Prescription Drug Plans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2,478</w:t>
            </w:r>
          </w:p>
        </w:tc>
        <w:tc>
          <w:tcPr>
            <w:tcW w:w="8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2,994</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4,696</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5,781</w:t>
            </w:r>
          </w:p>
        </w:tc>
      </w:tr>
      <w:tr>
        <w:trPr>
          <w:trHeight w:val="175"/>
        </w:trPr>
        <w:tc>
          <w:tcPr>
            <w:tcW w:w="6520" w:type="dxa"/>
            <w:vAlign w:val="bottom"/>
          </w:tcPr>
          <w:p>
            <w:pPr>
              <w:ind w:left="20"/>
              <w:spacing w:after="0"/>
              <w:rPr>
                <w:sz w:val="20"/>
                <w:szCs w:val="20"/>
                <w:color w:val="auto"/>
              </w:rPr>
            </w:pPr>
            <w:r>
              <w:rPr>
                <w:rFonts w:ascii="Arial" w:cs="Arial" w:eastAsia="Arial" w:hAnsi="Arial"/>
                <w:sz w:val="13"/>
                <w:szCs w:val="13"/>
                <w:b w:val="1"/>
                <w:bCs w:val="1"/>
                <w:color w:val="auto"/>
              </w:rPr>
              <w:t>Total Medicare - Non-commissionable Submitted Policies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18,412</w:t>
            </w:r>
          </w:p>
        </w:tc>
        <w:tc>
          <w:tcPr>
            <w:tcW w:w="8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30,507</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36,352</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59,362</w:t>
            </w:r>
          </w:p>
        </w:tc>
      </w:tr>
      <w:tr>
        <w:trPr>
          <w:trHeight w:val="20"/>
        </w:trPr>
        <w:tc>
          <w:tcPr>
            <w:tcW w:w="65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897"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The following table sets forth the components of our results of operations for each quarter of 2021 (unaudited):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Three months</w:t>
            </w:r>
          </w:p>
        </w:tc>
        <w:tc>
          <w:tcPr>
            <w:tcW w:w="10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Three months</w:t>
            </w:r>
          </w:p>
        </w:tc>
        <w:tc>
          <w:tcPr>
            <w:tcW w:w="10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Three months</w:t>
            </w:r>
          </w:p>
        </w:tc>
        <w:tc>
          <w:tcPr>
            <w:tcW w:w="100" w:type="dxa"/>
            <w:vAlign w:val="bottom"/>
          </w:tcPr>
          <w:p>
            <w:pPr>
              <w:spacing w:after="0"/>
              <w:rPr>
                <w:sz w:val="13"/>
                <w:szCs w:val="13"/>
                <w:color w:val="auto"/>
              </w:rPr>
            </w:pPr>
          </w:p>
        </w:tc>
        <w:tc>
          <w:tcPr>
            <w:tcW w:w="11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7"/>
              </w:rPr>
              <w:t>Three months</w:t>
            </w:r>
          </w:p>
        </w:tc>
        <w:tc>
          <w:tcPr>
            <w:tcW w:w="80" w:type="dxa"/>
            <w:vAlign w:val="bottom"/>
          </w:tcPr>
          <w:p>
            <w:pPr>
              <w:spacing w:after="0"/>
              <w:rPr>
                <w:sz w:val="13"/>
                <w:szCs w:val="13"/>
                <w:color w:val="auto"/>
              </w:rPr>
            </w:pPr>
          </w:p>
        </w:tc>
        <w:tc>
          <w:tcPr>
            <w:tcW w:w="1000" w:type="dxa"/>
            <w:vAlign w:val="bottom"/>
          </w:tcPr>
          <w:p>
            <w:pPr>
              <w:jc w:val="center"/>
              <w:ind w:right="37"/>
              <w:spacing w:after="0"/>
              <w:rPr>
                <w:sz w:val="20"/>
                <w:szCs w:val="20"/>
                <w:color w:val="auto"/>
              </w:rPr>
            </w:pPr>
            <w:r>
              <w:rPr>
                <w:rFonts w:ascii="Arial" w:cs="Arial" w:eastAsia="Arial" w:hAnsi="Arial"/>
                <w:sz w:val="13"/>
                <w:szCs w:val="13"/>
                <w:b w:val="1"/>
                <w:bCs w:val="1"/>
                <w:color w:val="auto"/>
                <w:w w:val="95"/>
              </w:rPr>
              <w:t>Twelve months</w:t>
            </w:r>
          </w:p>
        </w:tc>
        <w:tc>
          <w:tcPr>
            <w:tcW w:w="0" w:type="dxa"/>
            <w:vAlign w:val="bottom"/>
          </w:tcPr>
          <w:p>
            <w:pPr>
              <w:spacing w:after="0"/>
              <w:rPr>
                <w:sz w:val="1"/>
                <w:szCs w:val="1"/>
                <w:color w:val="auto"/>
              </w:rPr>
            </w:pPr>
          </w:p>
        </w:tc>
      </w:tr>
      <w:tr>
        <w:trPr>
          <w:trHeight w:val="122"/>
        </w:trPr>
        <w:tc>
          <w:tcPr>
            <w:tcW w:w="5360" w:type="dxa"/>
            <w:vAlign w:val="bottom"/>
            <w:vMerge w:val="restart"/>
          </w:tcPr>
          <w:p>
            <w:pPr>
              <w:ind w:left="20"/>
              <w:spacing w:after="0"/>
              <w:rPr>
                <w:sz w:val="20"/>
                <w:szCs w:val="20"/>
                <w:color w:val="auto"/>
              </w:rPr>
            </w:pPr>
            <w:r>
              <w:rPr>
                <w:rFonts w:ascii="Arial" w:cs="Arial" w:eastAsia="Arial" w:hAnsi="Arial"/>
                <w:sz w:val="13"/>
                <w:szCs w:val="13"/>
                <w:color w:val="auto"/>
              </w:rPr>
              <w:t>(in thousands)</w:t>
            </w:r>
          </w:p>
        </w:tc>
        <w:tc>
          <w:tcPr>
            <w:tcW w:w="100" w:type="dxa"/>
            <w:vAlign w:val="bottom"/>
          </w:tcPr>
          <w:p>
            <w:pPr>
              <w:spacing w:after="0"/>
              <w:rPr>
                <w:sz w:val="10"/>
                <w:szCs w:val="10"/>
                <w:color w:val="auto"/>
              </w:rPr>
            </w:pPr>
          </w:p>
        </w:tc>
        <w:tc>
          <w:tcPr>
            <w:tcW w:w="110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5"/>
              </w:rPr>
              <w:t>ended Mar. 31,</w:t>
            </w:r>
          </w:p>
        </w:tc>
        <w:tc>
          <w:tcPr>
            <w:tcW w:w="100" w:type="dxa"/>
            <w:vAlign w:val="bottom"/>
          </w:tcPr>
          <w:p>
            <w:pPr>
              <w:spacing w:after="0"/>
              <w:rPr>
                <w:sz w:val="10"/>
                <w:szCs w:val="10"/>
                <w:color w:val="auto"/>
              </w:rPr>
            </w:pPr>
          </w:p>
        </w:tc>
        <w:tc>
          <w:tcPr>
            <w:tcW w:w="108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7"/>
              </w:rPr>
              <w:t>ended Jun. 30,</w:t>
            </w:r>
          </w:p>
        </w:tc>
        <w:tc>
          <w:tcPr>
            <w:tcW w:w="100" w:type="dxa"/>
            <w:vAlign w:val="bottom"/>
          </w:tcPr>
          <w:p>
            <w:pPr>
              <w:spacing w:after="0"/>
              <w:rPr>
                <w:sz w:val="10"/>
                <w:szCs w:val="10"/>
                <w:color w:val="auto"/>
              </w:rPr>
            </w:pPr>
          </w:p>
        </w:tc>
        <w:tc>
          <w:tcPr>
            <w:tcW w:w="110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8"/>
              </w:rPr>
              <w:t>ended Sep. 30,</w:t>
            </w:r>
          </w:p>
        </w:tc>
        <w:tc>
          <w:tcPr>
            <w:tcW w:w="100" w:type="dxa"/>
            <w:vAlign w:val="bottom"/>
          </w:tcPr>
          <w:p>
            <w:pPr>
              <w:spacing w:after="0"/>
              <w:rPr>
                <w:sz w:val="10"/>
                <w:szCs w:val="10"/>
                <w:color w:val="auto"/>
              </w:rPr>
            </w:pPr>
          </w:p>
        </w:tc>
        <w:tc>
          <w:tcPr>
            <w:tcW w:w="1120" w:type="dxa"/>
            <w:vAlign w:val="bottom"/>
            <w:tcBorders>
              <w:right w:val="single" w:sz="8" w:color="auto"/>
            </w:tcBorders>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80" w:type="dxa"/>
            <w:vAlign w:val="bottom"/>
          </w:tcPr>
          <w:p>
            <w:pPr>
              <w:spacing w:after="0"/>
              <w:rPr>
                <w:sz w:val="10"/>
                <w:szCs w:val="10"/>
                <w:color w:val="auto"/>
              </w:rPr>
            </w:pPr>
          </w:p>
        </w:tc>
        <w:tc>
          <w:tcPr>
            <w:tcW w:w="100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0" w:type="dxa"/>
            <w:vAlign w:val="bottom"/>
          </w:tcPr>
          <w:p>
            <w:pPr>
              <w:spacing w:after="0"/>
              <w:rPr>
                <w:sz w:val="1"/>
                <w:szCs w:val="1"/>
                <w:color w:val="auto"/>
              </w:rPr>
            </w:pPr>
          </w:p>
        </w:tc>
      </w:tr>
      <w:tr>
        <w:trPr>
          <w:trHeight w:val="172"/>
        </w:trPr>
        <w:tc>
          <w:tcPr>
            <w:tcW w:w="536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2021</w:t>
            </w:r>
          </w:p>
        </w:tc>
        <w:tc>
          <w:tcPr>
            <w:tcW w:w="12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6"/>
              </w:rPr>
              <w:t>2021</w:t>
            </w:r>
          </w:p>
        </w:tc>
        <w:tc>
          <w:tcPr>
            <w:tcW w:w="0" w:type="dxa"/>
            <w:vAlign w:val="bottom"/>
          </w:tcPr>
          <w:p>
            <w:pPr>
              <w:spacing w:after="0"/>
              <w:rPr>
                <w:sz w:val="1"/>
                <w:szCs w:val="1"/>
                <w:color w:val="auto"/>
              </w:rPr>
            </w:pPr>
          </w:p>
        </w:tc>
      </w:tr>
      <w:tr>
        <w:trPr>
          <w:trHeight w:val="159"/>
        </w:trPr>
        <w:tc>
          <w:tcPr>
            <w:tcW w:w="53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i w:val="1"/>
                <w:iCs w:val="1"/>
                <w:color w:val="auto"/>
              </w:rPr>
              <w:t>Net revenues:</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360" w:type="dxa"/>
            <w:vAlign w:val="bottom"/>
          </w:tcPr>
          <w:p>
            <w:pPr>
              <w:ind w:left="240"/>
              <w:spacing w:after="0"/>
              <w:rPr>
                <w:sz w:val="20"/>
                <w:szCs w:val="20"/>
                <w:color w:val="auto"/>
              </w:rPr>
            </w:pPr>
            <w:r>
              <w:rPr>
                <w:rFonts w:ascii="Arial" w:cs="Arial" w:eastAsia="Arial" w:hAnsi="Arial"/>
                <w:sz w:val="13"/>
                <w:szCs w:val="13"/>
                <w:color w:val="auto"/>
              </w:rPr>
              <w:t>Commission</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173,981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147,508</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174,948</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384,826</w:t>
            </w:r>
          </w:p>
        </w:tc>
        <w:tc>
          <w:tcPr>
            <w:tcW w:w="120" w:type="dxa"/>
            <w:vAlign w:val="bottom"/>
            <w:tcBorders>
              <w:right w:val="single" w:sz="8" w:color="auto"/>
            </w:tcBorders>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881,263</w:t>
            </w:r>
          </w:p>
        </w:tc>
        <w:tc>
          <w:tcPr>
            <w:tcW w:w="0" w:type="dxa"/>
            <w:vAlign w:val="bottom"/>
          </w:tcPr>
          <w:p>
            <w:pPr>
              <w:spacing w:after="0"/>
              <w:rPr>
                <w:sz w:val="1"/>
                <w:szCs w:val="1"/>
                <w:color w:val="auto"/>
              </w:rPr>
            </w:pPr>
          </w:p>
        </w:tc>
      </w:tr>
      <w:tr>
        <w:trPr>
          <w:trHeight w:val="183"/>
        </w:trPr>
        <w:tc>
          <w:tcPr>
            <w:tcW w:w="53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Enterprise</w:t>
            </w: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30,198</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49,394</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36,786</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64,774</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181,152</w:t>
            </w:r>
          </w:p>
        </w:tc>
        <w:tc>
          <w:tcPr>
            <w:tcW w:w="0" w:type="dxa"/>
            <w:vAlign w:val="bottom"/>
          </w:tcPr>
          <w:p>
            <w:pPr>
              <w:spacing w:after="0"/>
              <w:rPr>
                <w:sz w:val="1"/>
                <w:szCs w:val="1"/>
                <w:color w:val="auto"/>
              </w:rPr>
            </w:pPr>
          </w:p>
        </w:tc>
      </w:tr>
      <w:tr>
        <w:trPr>
          <w:trHeight w:val="163"/>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revenues</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204,179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196,902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211,734</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449,600</w:t>
            </w:r>
          </w:p>
        </w:tc>
        <w:tc>
          <w:tcPr>
            <w:tcW w:w="12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1,062,415</w:t>
            </w:r>
          </w:p>
        </w:tc>
        <w:tc>
          <w:tcPr>
            <w:tcW w:w="0" w:type="dxa"/>
            <w:vAlign w:val="bottom"/>
          </w:tcPr>
          <w:p>
            <w:pPr>
              <w:spacing w:after="0"/>
              <w:rPr>
                <w:sz w:val="1"/>
                <w:szCs w:val="1"/>
                <w:color w:val="auto"/>
              </w:rPr>
            </w:pPr>
          </w:p>
        </w:tc>
      </w:tr>
      <w:tr>
        <w:trPr>
          <w:trHeight w:val="162"/>
        </w:trPr>
        <w:tc>
          <w:tcPr>
            <w:tcW w:w="536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Operating expenses:</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360" w:type="dxa"/>
            <w:vAlign w:val="bottom"/>
          </w:tcPr>
          <w:p>
            <w:pPr>
              <w:ind w:left="240"/>
              <w:spacing w:after="0"/>
              <w:rPr>
                <w:sz w:val="20"/>
                <w:szCs w:val="20"/>
                <w:color w:val="auto"/>
              </w:rPr>
            </w:pPr>
            <w:r>
              <w:rPr>
                <w:rFonts w:ascii="Arial" w:cs="Arial" w:eastAsia="Arial" w:hAnsi="Arial"/>
                <w:sz w:val="13"/>
                <w:szCs w:val="13"/>
                <w:color w:val="auto"/>
              </w:rPr>
              <w:t>Cost of revenue</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48,375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37,442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53,632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99,886</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239,335</w:t>
            </w:r>
          </w:p>
        </w:tc>
        <w:tc>
          <w:tcPr>
            <w:tcW w:w="0" w:type="dxa"/>
            <w:vAlign w:val="bottom"/>
          </w:tcPr>
          <w:p>
            <w:pPr>
              <w:spacing w:after="0"/>
              <w:rPr>
                <w:sz w:val="1"/>
                <w:szCs w:val="1"/>
                <w:color w:val="auto"/>
              </w:rPr>
            </w:pPr>
          </w:p>
        </w:tc>
      </w:tr>
      <w:tr>
        <w:trPr>
          <w:trHeight w:val="184"/>
        </w:trPr>
        <w:tc>
          <w:tcPr>
            <w:tcW w:w="53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Marketing and advertising</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54,484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55,735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59,511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195,411</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365,141</w:t>
            </w:r>
          </w:p>
        </w:tc>
        <w:tc>
          <w:tcPr>
            <w:tcW w:w="0" w:type="dxa"/>
            <w:vAlign w:val="bottom"/>
          </w:tcPr>
          <w:p>
            <w:pPr>
              <w:spacing w:after="0"/>
              <w:rPr>
                <w:sz w:val="1"/>
                <w:szCs w:val="1"/>
                <w:color w:val="auto"/>
              </w:rPr>
            </w:pPr>
          </w:p>
        </w:tc>
      </w:tr>
      <w:tr>
        <w:trPr>
          <w:trHeight w:val="168"/>
        </w:trPr>
        <w:tc>
          <w:tcPr>
            <w:tcW w:w="5360" w:type="dxa"/>
            <w:vAlign w:val="bottom"/>
          </w:tcPr>
          <w:p>
            <w:pPr>
              <w:ind w:left="240"/>
              <w:spacing w:after="0"/>
              <w:rPr>
                <w:sz w:val="20"/>
                <w:szCs w:val="20"/>
                <w:color w:val="auto"/>
              </w:rPr>
            </w:pPr>
            <w:r>
              <w:rPr>
                <w:rFonts w:ascii="Arial" w:cs="Arial" w:eastAsia="Arial" w:hAnsi="Arial"/>
                <w:sz w:val="13"/>
                <w:szCs w:val="13"/>
                <w:color w:val="auto"/>
              </w:rPr>
              <w:t>Customer care and enrollment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47,094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61,927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87,813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123,331</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320,165</w:t>
            </w:r>
          </w:p>
        </w:tc>
        <w:tc>
          <w:tcPr>
            <w:tcW w:w="0" w:type="dxa"/>
            <w:vAlign w:val="bottom"/>
          </w:tcPr>
          <w:p>
            <w:pPr>
              <w:spacing w:after="0"/>
              <w:rPr>
                <w:sz w:val="1"/>
                <w:szCs w:val="1"/>
                <w:color w:val="auto"/>
              </w:rPr>
            </w:pPr>
          </w:p>
        </w:tc>
      </w:tr>
      <w:tr>
        <w:trPr>
          <w:trHeight w:val="183"/>
        </w:trPr>
        <w:tc>
          <w:tcPr>
            <w:tcW w:w="53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Technology</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11,983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11,651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15,178</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48,429</w:t>
            </w:r>
          </w:p>
        </w:tc>
        <w:tc>
          <w:tcPr>
            <w:tcW w:w="0" w:type="dxa"/>
            <w:vAlign w:val="bottom"/>
          </w:tcPr>
          <w:p>
            <w:pPr>
              <w:spacing w:after="0"/>
              <w:rPr>
                <w:sz w:val="1"/>
                <w:szCs w:val="1"/>
                <w:color w:val="auto"/>
              </w:rPr>
            </w:pPr>
          </w:p>
        </w:tc>
      </w:tr>
      <w:tr>
        <w:trPr>
          <w:trHeight w:val="168"/>
        </w:trPr>
        <w:tc>
          <w:tcPr>
            <w:tcW w:w="5360" w:type="dxa"/>
            <w:vAlign w:val="bottom"/>
          </w:tcPr>
          <w:p>
            <w:pPr>
              <w:ind w:left="240"/>
              <w:spacing w:after="0"/>
              <w:rPr>
                <w:sz w:val="20"/>
                <w:szCs w:val="20"/>
                <w:color w:val="auto"/>
              </w:rPr>
            </w:pPr>
            <w:r>
              <w:rPr>
                <w:rFonts w:ascii="Arial" w:cs="Arial" w:eastAsia="Arial" w:hAnsi="Arial"/>
                <w:sz w:val="13"/>
                <w:szCs w:val="13"/>
                <w:color w:val="auto"/>
              </w:rPr>
              <w:t>General and administrative</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19,693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25,251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24,232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29,007</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98,183</w:t>
            </w:r>
          </w:p>
        </w:tc>
        <w:tc>
          <w:tcPr>
            <w:tcW w:w="0" w:type="dxa"/>
            <w:vAlign w:val="bottom"/>
          </w:tcPr>
          <w:p>
            <w:pPr>
              <w:spacing w:after="0"/>
              <w:rPr>
                <w:sz w:val="1"/>
                <w:szCs w:val="1"/>
                <w:color w:val="auto"/>
              </w:rPr>
            </w:pPr>
          </w:p>
        </w:tc>
      </w:tr>
      <w:tr>
        <w:trPr>
          <w:trHeight w:val="183"/>
        </w:trPr>
        <w:tc>
          <w:tcPr>
            <w:tcW w:w="53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Amortization of intangible assets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23,514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23,515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23,514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23,513</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94,056</w:t>
            </w:r>
          </w:p>
        </w:tc>
        <w:tc>
          <w:tcPr>
            <w:tcW w:w="0" w:type="dxa"/>
            <w:vAlign w:val="bottom"/>
          </w:tcPr>
          <w:p>
            <w:pPr>
              <w:spacing w:after="0"/>
              <w:rPr>
                <w:sz w:val="1"/>
                <w:szCs w:val="1"/>
                <w:color w:val="auto"/>
              </w:rPr>
            </w:pPr>
          </w:p>
        </w:tc>
      </w:tr>
      <w:tr>
        <w:trPr>
          <w:trHeight w:val="169"/>
        </w:trPr>
        <w:tc>
          <w:tcPr>
            <w:tcW w:w="5360" w:type="dxa"/>
            <w:vAlign w:val="bottom"/>
          </w:tcPr>
          <w:p>
            <w:pPr>
              <w:ind w:left="240"/>
              <w:spacing w:after="0"/>
              <w:rPr>
                <w:sz w:val="20"/>
                <w:szCs w:val="20"/>
                <w:color w:val="auto"/>
              </w:rPr>
            </w:pPr>
            <w:r>
              <w:rPr>
                <w:rFonts w:ascii="Arial" w:cs="Arial" w:eastAsia="Arial" w:hAnsi="Arial"/>
                <w:sz w:val="13"/>
                <w:szCs w:val="13"/>
                <w:color w:val="auto"/>
              </w:rPr>
              <w:t>Goodwill impairment charges</w:t>
            </w: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386,553</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386,553</w:t>
            </w:r>
          </w:p>
        </w:tc>
        <w:tc>
          <w:tcPr>
            <w:tcW w:w="0" w:type="dxa"/>
            <w:vAlign w:val="bottom"/>
          </w:tcPr>
          <w:p>
            <w:pPr>
              <w:spacing w:after="0"/>
              <w:rPr>
                <w:sz w:val="1"/>
                <w:szCs w:val="1"/>
                <w:color w:val="auto"/>
              </w:rPr>
            </w:pPr>
          </w:p>
        </w:tc>
      </w:tr>
      <w:tr>
        <w:trPr>
          <w:trHeight w:val="175"/>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202,777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215,853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260,353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872,879</w:t>
            </w: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1,551,862</w:t>
            </w:r>
          </w:p>
        </w:tc>
        <w:tc>
          <w:tcPr>
            <w:tcW w:w="0" w:type="dxa"/>
            <w:vAlign w:val="bottom"/>
          </w:tcPr>
          <w:p>
            <w:pPr>
              <w:spacing w:after="0"/>
              <w:rPr>
                <w:sz w:val="1"/>
                <w:szCs w:val="1"/>
                <w:color w:val="auto"/>
              </w:rPr>
            </w:pPr>
          </w:p>
        </w:tc>
      </w:tr>
      <w:tr>
        <w:trPr>
          <w:trHeight w:val="161"/>
        </w:trPr>
        <w:tc>
          <w:tcPr>
            <w:tcW w:w="5360" w:type="dxa"/>
            <w:vAlign w:val="bottom"/>
          </w:tcPr>
          <w:p>
            <w:pPr>
              <w:ind w:left="20"/>
              <w:spacing w:after="0"/>
              <w:rPr>
                <w:sz w:val="20"/>
                <w:szCs w:val="20"/>
                <w:color w:val="auto"/>
              </w:rPr>
            </w:pPr>
            <w:r>
              <w:rPr>
                <w:rFonts w:ascii="Arial" w:cs="Arial" w:eastAsia="Arial" w:hAnsi="Arial"/>
                <w:sz w:val="13"/>
                <w:szCs w:val="13"/>
                <w:color w:val="auto"/>
              </w:rPr>
              <w:t>Income (loss) from operations</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1,402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(18,951)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(48,619)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(423,279)</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(489,447)</w:t>
            </w:r>
          </w:p>
        </w:tc>
        <w:tc>
          <w:tcPr>
            <w:tcW w:w="0" w:type="dxa"/>
            <w:vAlign w:val="bottom"/>
          </w:tcPr>
          <w:p>
            <w:pPr>
              <w:spacing w:after="0"/>
              <w:rPr>
                <w:sz w:val="1"/>
                <w:szCs w:val="1"/>
                <w:color w:val="auto"/>
              </w:rPr>
            </w:pPr>
          </w:p>
        </w:tc>
      </w:tr>
      <w:tr>
        <w:trPr>
          <w:trHeight w:val="183"/>
        </w:trPr>
        <w:tc>
          <w:tcPr>
            <w:tcW w:w="5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expense</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8,688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8,277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6,921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9,619</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33,505</w:t>
            </w:r>
          </w:p>
        </w:tc>
        <w:tc>
          <w:tcPr>
            <w:tcW w:w="0" w:type="dxa"/>
            <w:vAlign w:val="bottom"/>
          </w:tcPr>
          <w:p>
            <w:pPr>
              <w:spacing w:after="0"/>
              <w:rPr>
                <w:sz w:val="1"/>
                <w:szCs w:val="1"/>
                <w:color w:val="auto"/>
              </w:rPr>
            </w:pPr>
          </w:p>
        </w:tc>
      </w:tr>
      <w:tr>
        <w:trPr>
          <w:trHeight w:val="168"/>
        </w:trPr>
        <w:tc>
          <w:tcPr>
            <w:tcW w:w="5360" w:type="dxa"/>
            <w:vAlign w:val="bottom"/>
          </w:tcPr>
          <w:p>
            <w:pPr>
              <w:ind w:left="20"/>
              <w:spacing w:after="0"/>
              <w:rPr>
                <w:sz w:val="20"/>
                <w:szCs w:val="20"/>
                <w:color w:val="auto"/>
              </w:rPr>
            </w:pPr>
            <w:r>
              <w:rPr>
                <w:rFonts w:ascii="Arial" w:cs="Arial" w:eastAsia="Arial" w:hAnsi="Arial"/>
                <w:sz w:val="13"/>
                <w:szCs w:val="13"/>
                <w:color w:val="auto"/>
              </w:rPr>
              <w:t>Loss on extinguishment of debt</w:t>
            </w: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11,935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11,935</w:t>
            </w:r>
          </w:p>
        </w:tc>
        <w:tc>
          <w:tcPr>
            <w:tcW w:w="0" w:type="dxa"/>
            <w:vAlign w:val="bottom"/>
          </w:tcPr>
          <w:p>
            <w:pPr>
              <w:spacing w:after="0"/>
              <w:rPr>
                <w:sz w:val="1"/>
                <w:szCs w:val="1"/>
                <w:color w:val="auto"/>
              </w:rPr>
            </w:pPr>
          </w:p>
        </w:tc>
      </w:tr>
      <w:tr>
        <w:trPr>
          <w:trHeight w:val="183"/>
        </w:trPr>
        <w:tc>
          <w:tcPr>
            <w:tcW w:w="5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(income) expense, net</w:t>
            </w: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(696)</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(669)</w:t>
            </w:r>
          </w:p>
        </w:tc>
        <w:tc>
          <w:tcPr>
            <w:tcW w:w="0" w:type="dxa"/>
            <w:vAlign w:val="bottom"/>
          </w:tcPr>
          <w:p>
            <w:pPr>
              <w:spacing w:after="0"/>
              <w:rPr>
                <w:sz w:val="1"/>
                <w:szCs w:val="1"/>
                <w:color w:val="auto"/>
              </w:rPr>
            </w:pPr>
          </w:p>
        </w:tc>
      </w:tr>
      <w:tr>
        <w:trPr>
          <w:trHeight w:val="163"/>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(loss) before income taxes, net</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(7,299)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(39,207)</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(55,510)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(432,202)</w:t>
            </w:r>
          </w:p>
        </w:tc>
        <w:tc>
          <w:tcPr>
            <w:tcW w:w="12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(534,218)</w:t>
            </w:r>
          </w:p>
        </w:tc>
        <w:tc>
          <w:tcPr>
            <w:tcW w:w="0" w:type="dxa"/>
            <w:vAlign w:val="bottom"/>
          </w:tcPr>
          <w:p>
            <w:pPr>
              <w:spacing w:after="0"/>
              <w:rPr>
                <w:sz w:val="1"/>
                <w:szCs w:val="1"/>
                <w:color w:val="auto"/>
              </w:rPr>
            </w:pPr>
          </w:p>
        </w:tc>
      </w:tr>
      <w:tr>
        <w:trPr>
          <w:trHeight w:val="175"/>
        </w:trPr>
        <w:tc>
          <w:tcPr>
            <w:tcW w:w="5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 (benefit)</w:t>
            </w: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88"/>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income (loss)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(7,268)</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(39,175)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(55,431)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(432,320)</w:t>
            </w:r>
          </w:p>
        </w:tc>
        <w:tc>
          <w:tcPr>
            <w:tcW w:w="120" w:type="dxa"/>
            <w:vAlign w:val="bottom"/>
            <w:tcBorders>
              <w:bottom w:val="single" w:sz="8" w:color="CCEEFF"/>
              <w:right w:val="single" w:sz="8" w:color="auto"/>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(534,194)</w:t>
            </w:r>
          </w:p>
        </w:tc>
        <w:tc>
          <w:tcPr>
            <w:tcW w:w="0" w:type="dxa"/>
            <w:vAlign w:val="bottom"/>
          </w:tcPr>
          <w:p>
            <w:pPr>
              <w:spacing w:after="0"/>
              <w:rPr>
                <w:sz w:val="1"/>
                <w:szCs w:val="1"/>
                <w:color w:val="auto"/>
              </w:rPr>
            </w:pPr>
          </w:p>
        </w:tc>
      </w:tr>
      <w:tr>
        <w:trPr>
          <w:trHeight w:val="149"/>
        </w:trPr>
        <w:tc>
          <w:tcPr>
            <w:tcW w:w="5360" w:type="dxa"/>
            <w:vAlign w:val="bottom"/>
            <w:tcBorders>
              <w:top w:val="single" w:sz="8" w:color="CCEEFF"/>
            </w:tcBorders>
            <w:shd w:val="clear" w:color="auto" w:fill="CCEEFF"/>
          </w:tcPr>
          <w:p>
            <w:pPr>
              <w:ind w:left="20"/>
              <w:spacing w:after="0" w:line="139" w:lineRule="exact"/>
              <w:rPr>
                <w:sz w:val="20"/>
                <w:szCs w:val="20"/>
                <w:color w:val="auto"/>
              </w:rPr>
            </w:pPr>
            <w:r>
              <w:rPr>
                <w:rFonts w:ascii="Arial" w:cs="Arial" w:eastAsia="Arial" w:hAnsi="Arial"/>
                <w:sz w:val="13"/>
                <w:szCs w:val="13"/>
                <w:color w:val="auto"/>
              </w:rPr>
              <w:t>Net income (loss) attributable to noncontrolling interests</w:t>
            </w:r>
          </w:p>
        </w:tc>
        <w:tc>
          <w:tcPr>
            <w:tcW w:w="100" w:type="dxa"/>
            <w:vAlign w:val="bottom"/>
            <w:tcBorders>
              <w:top w:val="single" w:sz="8" w:color="CCEEFF"/>
              <w:bottom w:val="single" w:sz="8" w:color="auto"/>
            </w:tcBorders>
            <w:shd w:val="clear" w:color="auto" w:fill="CCEEFF"/>
          </w:tcPr>
          <w:p>
            <w:pPr>
              <w:spacing w:after="0"/>
              <w:rPr>
                <w:sz w:val="12"/>
                <w:szCs w:val="12"/>
                <w:color w:val="auto"/>
              </w:rPr>
            </w:pPr>
          </w:p>
        </w:tc>
        <w:tc>
          <w:tcPr>
            <w:tcW w:w="1000" w:type="dxa"/>
            <w:vAlign w:val="bottom"/>
            <w:tcBorders>
              <w:top w:val="single" w:sz="8" w:color="CCEEFF"/>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(5,178)</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auto"/>
            </w:tcBorders>
            <w:shd w:val="clear" w:color="auto" w:fill="CCEEFF"/>
          </w:tcPr>
          <w:p>
            <w:pPr>
              <w:spacing w:after="0"/>
              <w:rPr>
                <w:sz w:val="12"/>
                <w:szCs w:val="12"/>
                <w:color w:val="auto"/>
              </w:rPr>
            </w:pPr>
          </w:p>
        </w:tc>
        <w:tc>
          <w:tcPr>
            <w:tcW w:w="980" w:type="dxa"/>
            <w:vAlign w:val="bottom"/>
            <w:tcBorders>
              <w:top w:val="single" w:sz="8" w:color="CCEEFF"/>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(27,186)</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auto"/>
            </w:tcBorders>
            <w:shd w:val="clear" w:color="auto" w:fill="CCEEFF"/>
          </w:tcPr>
          <w:p>
            <w:pPr>
              <w:spacing w:after="0"/>
              <w:rPr>
                <w:sz w:val="12"/>
                <w:szCs w:val="12"/>
                <w:color w:val="auto"/>
              </w:rPr>
            </w:pPr>
          </w:p>
        </w:tc>
        <w:tc>
          <w:tcPr>
            <w:tcW w:w="1000" w:type="dxa"/>
            <w:vAlign w:val="bottom"/>
            <w:tcBorders>
              <w:top w:val="single" w:sz="8" w:color="CCEEFF"/>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(35,248)</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auto"/>
            </w:tcBorders>
            <w:shd w:val="clear" w:color="auto" w:fill="CCEEFF"/>
          </w:tcPr>
          <w:p>
            <w:pPr>
              <w:spacing w:after="0"/>
              <w:rPr>
                <w:sz w:val="12"/>
                <w:szCs w:val="12"/>
                <w:color w:val="auto"/>
              </w:rPr>
            </w:pPr>
          </w:p>
        </w:tc>
        <w:tc>
          <w:tcPr>
            <w:tcW w:w="1000" w:type="dxa"/>
            <w:vAlign w:val="bottom"/>
            <w:tcBorders>
              <w:top w:val="single" w:sz="8" w:color="CCEEFF"/>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(277,225)</w:t>
            </w:r>
          </w:p>
        </w:tc>
        <w:tc>
          <w:tcPr>
            <w:tcW w:w="12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(344,837)</w:t>
            </w:r>
          </w:p>
        </w:tc>
        <w:tc>
          <w:tcPr>
            <w:tcW w:w="0" w:type="dxa"/>
            <w:vAlign w:val="bottom"/>
          </w:tcPr>
          <w:p>
            <w:pPr>
              <w:spacing w:after="0"/>
              <w:rPr>
                <w:sz w:val="1"/>
                <w:szCs w:val="1"/>
                <w:color w:val="auto"/>
              </w:rPr>
            </w:pPr>
          </w:p>
        </w:tc>
      </w:tr>
      <w:tr>
        <w:trPr>
          <w:trHeight w:val="176"/>
        </w:trPr>
        <w:tc>
          <w:tcPr>
            <w:tcW w:w="5360" w:type="dxa"/>
            <w:vAlign w:val="bottom"/>
          </w:tcPr>
          <w:p>
            <w:pPr>
              <w:ind w:left="20"/>
              <w:spacing w:after="0"/>
              <w:rPr>
                <w:sz w:val="20"/>
                <w:szCs w:val="20"/>
                <w:color w:val="auto"/>
              </w:rPr>
            </w:pPr>
            <w:r>
              <w:rPr>
                <w:rFonts w:ascii="Arial" w:cs="Arial" w:eastAsia="Arial" w:hAnsi="Arial"/>
                <w:sz w:val="13"/>
                <w:szCs w:val="13"/>
                <w:b w:val="1"/>
                <w:bCs w:val="1"/>
                <w:color w:val="auto"/>
              </w:rPr>
              <w:t>Net income (loss) attributable to GoHealth, Inc.</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(2,090)</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(11,989)</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(20,183)</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(155,095)</w:t>
            </w:r>
          </w:p>
        </w:tc>
        <w:tc>
          <w:tcPr>
            <w:tcW w:w="120" w:type="dxa"/>
            <w:vAlign w:val="bottom"/>
            <w:tcBorders>
              <w:right w:val="single" w:sz="8" w:color="auto"/>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(189,357)</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share-based compensation expense embedded in the operating expense line items for each quarter of 2021 (unaudited):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Three months</w:t>
            </w:r>
          </w:p>
        </w:tc>
        <w:tc>
          <w:tcPr>
            <w:tcW w:w="10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Three months</w:t>
            </w:r>
          </w:p>
        </w:tc>
        <w:tc>
          <w:tcPr>
            <w:tcW w:w="80" w:type="dxa"/>
            <w:vAlign w:val="bottom"/>
          </w:tcPr>
          <w:p>
            <w:pPr>
              <w:spacing w:after="0"/>
              <w:rPr>
                <w:sz w:val="13"/>
                <w:szCs w:val="13"/>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Three months</w:t>
            </w:r>
          </w:p>
        </w:tc>
        <w:tc>
          <w:tcPr>
            <w:tcW w:w="100" w:type="dxa"/>
            <w:vAlign w:val="bottom"/>
          </w:tcPr>
          <w:p>
            <w:pPr>
              <w:spacing w:after="0"/>
              <w:rPr>
                <w:sz w:val="13"/>
                <w:szCs w:val="13"/>
                <w:color w:val="auto"/>
              </w:rPr>
            </w:pPr>
          </w:p>
        </w:tc>
        <w:tc>
          <w:tcPr>
            <w:tcW w:w="110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7"/>
              </w:rPr>
              <w:t>Three months</w:t>
            </w:r>
          </w:p>
        </w:tc>
        <w:tc>
          <w:tcPr>
            <w:tcW w:w="80" w:type="dxa"/>
            <w:vAlign w:val="bottom"/>
          </w:tcPr>
          <w:p>
            <w:pPr>
              <w:spacing w:after="0"/>
              <w:rPr>
                <w:sz w:val="13"/>
                <w:szCs w:val="13"/>
                <w:color w:val="auto"/>
              </w:rPr>
            </w:pPr>
          </w:p>
        </w:tc>
        <w:tc>
          <w:tcPr>
            <w:tcW w:w="1000" w:type="dxa"/>
            <w:vAlign w:val="bottom"/>
          </w:tcPr>
          <w:p>
            <w:pPr>
              <w:jc w:val="center"/>
              <w:ind w:right="17"/>
              <w:spacing w:after="0"/>
              <w:rPr>
                <w:sz w:val="20"/>
                <w:szCs w:val="20"/>
                <w:color w:val="auto"/>
              </w:rPr>
            </w:pPr>
            <w:r>
              <w:rPr>
                <w:rFonts w:ascii="Arial" w:cs="Arial" w:eastAsia="Arial" w:hAnsi="Arial"/>
                <w:sz w:val="13"/>
                <w:szCs w:val="13"/>
                <w:b w:val="1"/>
                <w:bCs w:val="1"/>
                <w:color w:val="auto"/>
                <w:w w:val="97"/>
              </w:rPr>
              <w:t>Twelve months</w:t>
            </w:r>
          </w:p>
        </w:tc>
        <w:tc>
          <w:tcPr>
            <w:tcW w:w="0" w:type="dxa"/>
            <w:vAlign w:val="bottom"/>
          </w:tcPr>
          <w:p>
            <w:pPr>
              <w:spacing w:after="0"/>
              <w:rPr>
                <w:sz w:val="1"/>
                <w:szCs w:val="1"/>
                <w:color w:val="auto"/>
              </w:rPr>
            </w:pPr>
          </w:p>
        </w:tc>
      </w:tr>
      <w:tr>
        <w:trPr>
          <w:trHeight w:val="121"/>
        </w:trPr>
        <w:tc>
          <w:tcPr>
            <w:tcW w:w="5400" w:type="dxa"/>
            <w:vAlign w:val="bottom"/>
            <w:vMerge w:val="restart"/>
          </w:tcPr>
          <w:p>
            <w:pPr>
              <w:ind w:left="20"/>
              <w:spacing w:after="0"/>
              <w:rPr>
                <w:sz w:val="20"/>
                <w:szCs w:val="20"/>
                <w:color w:val="auto"/>
              </w:rPr>
            </w:pPr>
            <w:r>
              <w:rPr>
                <w:rFonts w:ascii="Arial" w:cs="Arial" w:eastAsia="Arial" w:hAnsi="Arial"/>
                <w:sz w:val="13"/>
                <w:szCs w:val="13"/>
                <w:color w:val="auto"/>
              </w:rPr>
              <w:t>(in thousands)</w:t>
            </w:r>
          </w:p>
        </w:tc>
        <w:tc>
          <w:tcPr>
            <w:tcW w:w="100" w:type="dxa"/>
            <w:vAlign w:val="bottom"/>
          </w:tcPr>
          <w:p>
            <w:pPr>
              <w:spacing w:after="0"/>
              <w:rPr>
                <w:sz w:val="10"/>
                <w:szCs w:val="10"/>
                <w:color w:val="auto"/>
              </w:rPr>
            </w:pPr>
          </w:p>
        </w:tc>
        <w:tc>
          <w:tcPr>
            <w:tcW w:w="108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7"/>
              </w:rPr>
              <w:t>ended Mar. 31,</w:t>
            </w:r>
          </w:p>
        </w:tc>
        <w:tc>
          <w:tcPr>
            <w:tcW w:w="100" w:type="dxa"/>
            <w:vAlign w:val="bottom"/>
          </w:tcPr>
          <w:p>
            <w:pPr>
              <w:spacing w:after="0"/>
              <w:rPr>
                <w:sz w:val="10"/>
                <w:szCs w:val="10"/>
                <w:color w:val="auto"/>
              </w:rPr>
            </w:pPr>
          </w:p>
        </w:tc>
        <w:tc>
          <w:tcPr>
            <w:tcW w:w="110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5"/>
              </w:rPr>
              <w:t>ended Jun. 30,</w:t>
            </w:r>
          </w:p>
        </w:tc>
        <w:tc>
          <w:tcPr>
            <w:tcW w:w="80" w:type="dxa"/>
            <w:vAlign w:val="bottom"/>
          </w:tcPr>
          <w:p>
            <w:pPr>
              <w:spacing w:after="0"/>
              <w:rPr>
                <w:sz w:val="10"/>
                <w:szCs w:val="10"/>
                <w:color w:val="auto"/>
              </w:rPr>
            </w:pPr>
          </w:p>
        </w:tc>
        <w:tc>
          <w:tcPr>
            <w:tcW w:w="110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ended Sep. 30,</w:t>
            </w:r>
          </w:p>
        </w:tc>
        <w:tc>
          <w:tcPr>
            <w:tcW w:w="100" w:type="dxa"/>
            <w:vAlign w:val="bottom"/>
          </w:tcPr>
          <w:p>
            <w:pPr>
              <w:spacing w:after="0"/>
              <w:rPr>
                <w:sz w:val="10"/>
                <w:szCs w:val="10"/>
                <w:color w:val="auto"/>
              </w:rPr>
            </w:pPr>
          </w:p>
        </w:tc>
        <w:tc>
          <w:tcPr>
            <w:tcW w:w="1100" w:type="dxa"/>
            <w:vAlign w:val="bottom"/>
            <w:tcBorders>
              <w:right w:val="single" w:sz="8" w:color="auto"/>
            </w:tcBorders>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80" w:type="dxa"/>
            <w:vAlign w:val="bottom"/>
          </w:tcPr>
          <w:p>
            <w:pPr>
              <w:spacing w:after="0"/>
              <w:rPr>
                <w:sz w:val="10"/>
                <w:szCs w:val="10"/>
                <w:color w:val="auto"/>
              </w:rPr>
            </w:pPr>
          </w:p>
        </w:tc>
        <w:tc>
          <w:tcPr>
            <w:tcW w:w="100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0" w:type="dxa"/>
            <w:vAlign w:val="bottom"/>
          </w:tcPr>
          <w:p>
            <w:pPr>
              <w:spacing w:after="0"/>
              <w:rPr>
                <w:sz w:val="1"/>
                <w:szCs w:val="1"/>
                <w:color w:val="auto"/>
              </w:rPr>
            </w:pPr>
          </w:p>
        </w:tc>
      </w:tr>
      <w:tr>
        <w:trPr>
          <w:trHeight w:val="172"/>
        </w:trPr>
        <w:tc>
          <w:tcPr>
            <w:tcW w:w="540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6"/>
              </w:rPr>
              <w:t>2021</w:t>
            </w:r>
          </w:p>
        </w:tc>
        <w:tc>
          <w:tcPr>
            <w:tcW w:w="0" w:type="dxa"/>
            <w:vAlign w:val="bottom"/>
          </w:tcPr>
          <w:p>
            <w:pPr>
              <w:spacing w:after="0"/>
              <w:rPr>
                <w:sz w:val="1"/>
                <w:szCs w:val="1"/>
                <w:color w:val="auto"/>
              </w:rPr>
            </w:pPr>
          </w:p>
        </w:tc>
      </w:tr>
      <w:tr>
        <w:trPr>
          <w:trHeight w:val="173"/>
        </w:trPr>
        <w:tc>
          <w:tcPr>
            <w:tcW w:w="5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Marketing and advertising</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647</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2,108</w:t>
            </w:r>
          </w:p>
        </w:tc>
        <w:tc>
          <w:tcPr>
            <w:tcW w:w="0" w:type="dxa"/>
            <w:vAlign w:val="bottom"/>
          </w:tcPr>
          <w:p>
            <w:pPr>
              <w:spacing w:after="0"/>
              <w:rPr>
                <w:sz w:val="1"/>
                <w:szCs w:val="1"/>
                <w:color w:val="auto"/>
              </w:rPr>
            </w:pPr>
          </w:p>
        </w:tc>
      </w:tr>
      <w:tr>
        <w:trPr>
          <w:trHeight w:val="168"/>
        </w:trPr>
        <w:tc>
          <w:tcPr>
            <w:tcW w:w="5400" w:type="dxa"/>
            <w:vAlign w:val="bottom"/>
          </w:tcPr>
          <w:p>
            <w:pPr>
              <w:ind w:left="20"/>
              <w:spacing w:after="0"/>
              <w:rPr>
                <w:sz w:val="20"/>
                <w:szCs w:val="20"/>
                <w:color w:val="auto"/>
              </w:rPr>
            </w:pPr>
            <w:r>
              <w:rPr>
                <w:rFonts w:ascii="Arial" w:cs="Arial" w:eastAsia="Arial" w:hAnsi="Arial"/>
                <w:sz w:val="13"/>
                <w:szCs w:val="13"/>
                <w:color w:val="auto"/>
              </w:rPr>
              <w:t>Customer care and enrollment</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796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1,043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957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979</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3,775</w:t>
            </w:r>
          </w:p>
        </w:tc>
        <w:tc>
          <w:tcPr>
            <w:tcW w:w="0" w:type="dxa"/>
            <w:vAlign w:val="bottom"/>
          </w:tcPr>
          <w:p>
            <w:pPr>
              <w:spacing w:after="0"/>
              <w:rPr>
                <w:sz w:val="1"/>
                <w:szCs w:val="1"/>
                <w:color w:val="auto"/>
              </w:rPr>
            </w:pPr>
          </w:p>
        </w:tc>
      </w:tr>
      <w:tr>
        <w:trPr>
          <w:trHeight w:val="183"/>
        </w:trPr>
        <w:tc>
          <w:tcPr>
            <w:tcW w:w="5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Technology</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985</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3,775</w:t>
            </w:r>
          </w:p>
        </w:tc>
        <w:tc>
          <w:tcPr>
            <w:tcW w:w="0" w:type="dxa"/>
            <w:vAlign w:val="bottom"/>
          </w:tcPr>
          <w:p>
            <w:pPr>
              <w:spacing w:after="0"/>
              <w:rPr>
                <w:sz w:val="1"/>
                <w:szCs w:val="1"/>
                <w:color w:val="auto"/>
              </w:rPr>
            </w:pPr>
          </w:p>
        </w:tc>
      </w:tr>
      <w:tr>
        <w:trPr>
          <w:trHeight w:val="169"/>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General and administrative</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3,232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4,997</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4,824</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4,586</w:t>
            </w:r>
          </w:p>
        </w:tc>
        <w:tc>
          <w:tcPr>
            <w:tcW w:w="10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17,639</w:t>
            </w:r>
          </w:p>
        </w:tc>
        <w:tc>
          <w:tcPr>
            <w:tcW w:w="0" w:type="dxa"/>
            <w:vAlign w:val="bottom"/>
          </w:tcPr>
          <w:p>
            <w:pPr>
              <w:spacing w:after="0"/>
              <w:rPr>
                <w:sz w:val="1"/>
                <w:szCs w:val="1"/>
                <w:color w:val="auto"/>
              </w:rPr>
            </w:pPr>
          </w:p>
        </w:tc>
      </w:tr>
      <w:tr>
        <w:trPr>
          <w:trHeight w:val="201"/>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share-based compensation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5,112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7,599</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7,389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7,197</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27,297</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789"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The following table sets forth operating segment results for each quarter of 2021 (unaudited):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Three months</w:t>
            </w:r>
          </w:p>
        </w:tc>
        <w:tc>
          <w:tcPr>
            <w:tcW w:w="100" w:type="dxa"/>
            <w:vAlign w:val="bottom"/>
          </w:tcPr>
          <w:p>
            <w:pPr>
              <w:spacing w:after="0"/>
              <w:rPr>
                <w:sz w:val="13"/>
                <w:szCs w:val="13"/>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Three months</w:t>
            </w:r>
          </w:p>
        </w:tc>
        <w:tc>
          <w:tcPr>
            <w:tcW w:w="10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Three months</w:t>
            </w:r>
          </w:p>
        </w:tc>
        <w:tc>
          <w:tcPr>
            <w:tcW w:w="100" w:type="dxa"/>
            <w:vAlign w:val="bottom"/>
          </w:tcPr>
          <w:p>
            <w:pPr>
              <w:spacing w:after="0"/>
              <w:rPr>
                <w:sz w:val="13"/>
                <w:szCs w:val="13"/>
                <w:color w:val="auto"/>
              </w:rPr>
            </w:pPr>
          </w:p>
        </w:tc>
        <w:tc>
          <w:tcPr>
            <w:tcW w:w="11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5"/>
              </w:rPr>
              <w:t>Three months</w:t>
            </w:r>
          </w:p>
        </w:tc>
        <w:tc>
          <w:tcPr>
            <w:tcW w:w="80" w:type="dxa"/>
            <w:vAlign w:val="bottom"/>
          </w:tcPr>
          <w:p>
            <w:pPr>
              <w:spacing w:after="0"/>
              <w:rPr>
                <w:sz w:val="13"/>
                <w:szCs w:val="13"/>
                <w:color w:val="auto"/>
              </w:rPr>
            </w:pPr>
          </w:p>
        </w:tc>
        <w:tc>
          <w:tcPr>
            <w:tcW w:w="1000" w:type="dxa"/>
            <w:vAlign w:val="bottom"/>
          </w:tcPr>
          <w:p>
            <w:pPr>
              <w:jc w:val="center"/>
              <w:ind w:right="37"/>
              <w:spacing w:after="0"/>
              <w:rPr>
                <w:sz w:val="20"/>
                <w:szCs w:val="20"/>
                <w:color w:val="auto"/>
              </w:rPr>
            </w:pPr>
            <w:r>
              <w:rPr>
                <w:rFonts w:ascii="Arial" w:cs="Arial" w:eastAsia="Arial" w:hAnsi="Arial"/>
                <w:sz w:val="13"/>
                <w:szCs w:val="13"/>
                <w:b w:val="1"/>
                <w:bCs w:val="1"/>
                <w:color w:val="auto"/>
                <w:w w:val="95"/>
              </w:rPr>
              <w:t>Twelve months</w:t>
            </w:r>
          </w:p>
        </w:tc>
        <w:tc>
          <w:tcPr>
            <w:tcW w:w="0" w:type="dxa"/>
            <w:vAlign w:val="bottom"/>
          </w:tcPr>
          <w:p>
            <w:pPr>
              <w:spacing w:after="0"/>
              <w:rPr>
                <w:sz w:val="1"/>
                <w:szCs w:val="1"/>
                <w:color w:val="auto"/>
              </w:rPr>
            </w:pPr>
          </w:p>
        </w:tc>
      </w:tr>
      <w:tr>
        <w:trPr>
          <w:trHeight w:val="122"/>
        </w:trPr>
        <w:tc>
          <w:tcPr>
            <w:tcW w:w="5380" w:type="dxa"/>
            <w:vAlign w:val="bottom"/>
            <w:vMerge w:val="restart"/>
          </w:tcPr>
          <w:p>
            <w:pPr>
              <w:ind w:left="20"/>
              <w:spacing w:after="0"/>
              <w:rPr>
                <w:sz w:val="20"/>
                <w:szCs w:val="20"/>
                <w:color w:val="auto"/>
              </w:rPr>
            </w:pPr>
            <w:r>
              <w:rPr>
                <w:rFonts w:ascii="Arial" w:cs="Arial" w:eastAsia="Arial" w:hAnsi="Arial"/>
                <w:sz w:val="13"/>
                <w:szCs w:val="13"/>
                <w:color w:val="auto"/>
              </w:rPr>
              <w:t>(in thousands)</w:t>
            </w:r>
          </w:p>
        </w:tc>
        <w:tc>
          <w:tcPr>
            <w:tcW w:w="100" w:type="dxa"/>
            <w:vAlign w:val="bottom"/>
          </w:tcPr>
          <w:p>
            <w:pPr>
              <w:spacing w:after="0"/>
              <w:rPr>
                <w:sz w:val="10"/>
                <w:szCs w:val="10"/>
                <w:color w:val="auto"/>
              </w:rPr>
            </w:pPr>
          </w:p>
        </w:tc>
        <w:tc>
          <w:tcPr>
            <w:tcW w:w="108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5"/>
              </w:rPr>
              <w:t>ended Mar. 31,</w:t>
            </w:r>
          </w:p>
        </w:tc>
        <w:tc>
          <w:tcPr>
            <w:tcW w:w="100" w:type="dxa"/>
            <w:vAlign w:val="bottom"/>
          </w:tcPr>
          <w:p>
            <w:pPr>
              <w:spacing w:after="0"/>
              <w:rPr>
                <w:sz w:val="10"/>
                <w:szCs w:val="10"/>
                <w:color w:val="auto"/>
              </w:rPr>
            </w:pPr>
          </w:p>
        </w:tc>
        <w:tc>
          <w:tcPr>
            <w:tcW w:w="110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7"/>
              </w:rPr>
              <w:t>ended Jun. 30,</w:t>
            </w:r>
          </w:p>
        </w:tc>
        <w:tc>
          <w:tcPr>
            <w:tcW w:w="100" w:type="dxa"/>
            <w:vAlign w:val="bottom"/>
          </w:tcPr>
          <w:p>
            <w:pPr>
              <w:spacing w:after="0"/>
              <w:rPr>
                <w:sz w:val="10"/>
                <w:szCs w:val="10"/>
                <w:color w:val="auto"/>
              </w:rPr>
            </w:pPr>
          </w:p>
        </w:tc>
        <w:tc>
          <w:tcPr>
            <w:tcW w:w="108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ended Sep. 30,</w:t>
            </w:r>
          </w:p>
        </w:tc>
        <w:tc>
          <w:tcPr>
            <w:tcW w:w="100" w:type="dxa"/>
            <w:vAlign w:val="bottom"/>
          </w:tcPr>
          <w:p>
            <w:pPr>
              <w:spacing w:after="0"/>
              <w:rPr>
                <w:sz w:val="10"/>
                <w:szCs w:val="10"/>
                <w:color w:val="auto"/>
              </w:rPr>
            </w:pPr>
          </w:p>
        </w:tc>
        <w:tc>
          <w:tcPr>
            <w:tcW w:w="1120" w:type="dxa"/>
            <w:vAlign w:val="bottom"/>
            <w:tcBorders>
              <w:right w:val="single" w:sz="8" w:color="auto"/>
            </w:tcBorders>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80" w:type="dxa"/>
            <w:vAlign w:val="bottom"/>
          </w:tcPr>
          <w:p>
            <w:pPr>
              <w:spacing w:after="0"/>
              <w:rPr>
                <w:sz w:val="10"/>
                <w:szCs w:val="10"/>
                <w:color w:val="auto"/>
              </w:rPr>
            </w:pPr>
          </w:p>
        </w:tc>
        <w:tc>
          <w:tcPr>
            <w:tcW w:w="100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0" w:type="dxa"/>
            <w:vAlign w:val="bottom"/>
          </w:tcPr>
          <w:p>
            <w:pPr>
              <w:spacing w:after="0"/>
              <w:rPr>
                <w:sz w:val="1"/>
                <w:szCs w:val="1"/>
                <w:color w:val="auto"/>
              </w:rPr>
            </w:pPr>
          </w:p>
        </w:tc>
      </w:tr>
      <w:tr>
        <w:trPr>
          <w:trHeight w:val="172"/>
        </w:trPr>
        <w:tc>
          <w:tcPr>
            <w:tcW w:w="538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2021</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2021</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6"/>
              </w:rPr>
              <w:t>2021</w:t>
            </w:r>
          </w:p>
        </w:tc>
        <w:tc>
          <w:tcPr>
            <w:tcW w:w="12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6"/>
              </w:rPr>
              <w:t>2021</w:t>
            </w:r>
          </w:p>
        </w:tc>
        <w:tc>
          <w:tcPr>
            <w:tcW w:w="0" w:type="dxa"/>
            <w:vAlign w:val="bottom"/>
          </w:tcPr>
          <w:p>
            <w:pPr>
              <w:spacing w:after="0"/>
              <w:rPr>
                <w:sz w:val="1"/>
                <w:szCs w:val="1"/>
                <w:color w:val="auto"/>
              </w:rPr>
            </w:pPr>
          </w:p>
        </w:tc>
      </w:tr>
      <w:tr>
        <w:trPr>
          <w:trHeight w:val="159"/>
        </w:trPr>
        <w:tc>
          <w:tcPr>
            <w:tcW w:w="53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i w:val="1"/>
                <w:iCs w:val="1"/>
                <w:color w:val="auto"/>
              </w:rPr>
              <w:t>Net revenues:</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380" w:type="dxa"/>
            <w:vAlign w:val="bottom"/>
          </w:tcPr>
          <w:p>
            <w:pPr>
              <w:ind w:left="240"/>
              <w:spacing w:after="0"/>
              <w:rPr>
                <w:sz w:val="20"/>
                <w:szCs w:val="20"/>
                <w:color w:val="auto"/>
              </w:rPr>
            </w:pPr>
            <w:r>
              <w:rPr>
                <w:rFonts w:ascii="Arial" w:cs="Arial" w:eastAsia="Arial" w:hAnsi="Arial"/>
                <w:sz w:val="13"/>
                <w:szCs w:val="13"/>
                <w:color w:val="auto"/>
              </w:rPr>
              <w:t>Medicare - Internal</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157,353</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160,433</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158,605</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368,503</w:t>
            </w:r>
          </w:p>
        </w:tc>
        <w:tc>
          <w:tcPr>
            <w:tcW w:w="120" w:type="dxa"/>
            <w:vAlign w:val="bottom"/>
            <w:tcBorders>
              <w:right w:val="single" w:sz="8" w:color="auto"/>
            </w:tcBorders>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844,894</w:t>
            </w:r>
          </w:p>
        </w:tc>
        <w:tc>
          <w:tcPr>
            <w:tcW w:w="0" w:type="dxa"/>
            <w:vAlign w:val="bottom"/>
          </w:tcPr>
          <w:p>
            <w:pPr>
              <w:spacing w:after="0"/>
              <w:rPr>
                <w:sz w:val="1"/>
                <w:szCs w:val="1"/>
                <w:color w:val="auto"/>
              </w:rPr>
            </w:pPr>
          </w:p>
        </w:tc>
      </w:tr>
      <w:tr>
        <w:trPr>
          <w:trHeight w:val="183"/>
        </w:trPr>
        <w:tc>
          <w:tcPr>
            <w:tcW w:w="53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Medicare - External</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31,379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46,237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72,447</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189,563</w:t>
            </w:r>
          </w:p>
        </w:tc>
        <w:tc>
          <w:tcPr>
            <w:tcW w:w="0" w:type="dxa"/>
            <w:vAlign w:val="bottom"/>
          </w:tcPr>
          <w:p>
            <w:pPr>
              <w:spacing w:after="0"/>
              <w:rPr>
                <w:sz w:val="1"/>
                <w:szCs w:val="1"/>
                <w:color w:val="auto"/>
              </w:rPr>
            </w:pPr>
          </w:p>
        </w:tc>
      </w:tr>
      <w:tr>
        <w:trPr>
          <w:trHeight w:val="168"/>
        </w:trPr>
        <w:tc>
          <w:tcPr>
            <w:tcW w:w="5380" w:type="dxa"/>
            <w:vAlign w:val="bottom"/>
          </w:tcPr>
          <w:p>
            <w:pPr>
              <w:ind w:left="240"/>
              <w:spacing w:after="0"/>
              <w:rPr>
                <w:sz w:val="20"/>
                <w:szCs w:val="20"/>
                <w:color w:val="auto"/>
              </w:rPr>
            </w:pPr>
            <w:r>
              <w:rPr>
                <w:rFonts w:ascii="Arial" w:cs="Arial" w:eastAsia="Arial" w:hAnsi="Arial"/>
                <w:sz w:val="13"/>
                <w:szCs w:val="13"/>
                <w:color w:val="auto"/>
              </w:rPr>
              <w:t>IFP and Other - Internal</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3,975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3,788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5,742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6,182</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19,687</w:t>
            </w:r>
          </w:p>
        </w:tc>
        <w:tc>
          <w:tcPr>
            <w:tcW w:w="0" w:type="dxa"/>
            <w:vAlign w:val="bottom"/>
          </w:tcPr>
          <w:p>
            <w:pPr>
              <w:spacing w:after="0"/>
              <w:rPr>
                <w:sz w:val="1"/>
                <w:szCs w:val="1"/>
                <w:color w:val="auto"/>
              </w:rPr>
            </w:pPr>
          </w:p>
        </w:tc>
      </w:tr>
      <w:tr>
        <w:trPr>
          <w:trHeight w:val="177"/>
        </w:trPr>
        <w:tc>
          <w:tcPr>
            <w:tcW w:w="53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IFP and Other - External</w:t>
            </w: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3,351</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1,302</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1,150</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2,468</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8,271</w:t>
            </w:r>
          </w:p>
        </w:tc>
        <w:tc>
          <w:tcPr>
            <w:tcW w:w="0" w:type="dxa"/>
            <w:vAlign w:val="bottom"/>
          </w:tcPr>
          <w:p>
            <w:pPr>
              <w:spacing w:after="0"/>
              <w:rPr>
                <w:sz w:val="1"/>
                <w:szCs w:val="1"/>
                <w:color w:val="auto"/>
              </w:rPr>
            </w:pPr>
          </w:p>
        </w:tc>
      </w:tr>
      <w:tr>
        <w:trPr>
          <w:trHeight w:val="175"/>
        </w:trPr>
        <w:tc>
          <w:tcPr>
            <w:tcW w:w="5380" w:type="dxa"/>
            <w:vAlign w:val="bottom"/>
          </w:tcPr>
          <w:p>
            <w:pPr>
              <w:ind w:left="20"/>
              <w:spacing w:after="0"/>
              <w:rPr>
                <w:sz w:val="20"/>
                <w:szCs w:val="20"/>
                <w:color w:val="auto"/>
              </w:rPr>
            </w:pPr>
            <w:r>
              <w:rPr>
                <w:rFonts w:ascii="Arial" w:cs="Arial" w:eastAsia="Arial" w:hAnsi="Arial"/>
                <w:sz w:val="13"/>
                <w:szCs w:val="13"/>
                <w:color w:val="auto"/>
              </w:rPr>
              <w:t>Net revenues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204,179</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196,902</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211,734</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449,600</w:t>
            </w:r>
          </w:p>
        </w:tc>
        <w:tc>
          <w:tcPr>
            <w:tcW w:w="120" w:type="dxa"/>
            <w:vAlign w:val="bottom"/>
            <w:tcBorders>
              <w:right w:val="single" w:sz="8" w:color="auto"/>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1,062,415</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38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i w:val="1"/>
                <w:iCs w:val="1"/>
                <w:color w:val="auto"/>
              </w:rPr>
              <w:t>Segment profit (loss):</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380" w:type="dxa"/>
            <w:vAlign w:val="bottom"/>
          </w:tcPr>
          <w:p>
            <w:pPr>
              <w:ind w:left="240"/>
              <w:spacing w:after="0"/>
              <w:rPr>
                <w:sz w:val="20"/>
                <w:szCs w:val="20"/>
                <w:color w:val="auto"/>
              </w:rPr>
            </w:pPr>
            <w:r>
              <w:rPr>
                <w:rFonts w:ascii="Arial" w:cs="Arial" w:eastAsia="Arial" w:hAnsi="Arial"/>
                <w:sz w:val="13"/>
                <w:szCs w:val="13"/>
                <w:color w:val="auto"/>
              </w:rPr>
              <w:t>Medicare - Internal</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46,443</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31,257</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(4,126)</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10,771</w:t>
            </w:r>
          </w:p>
        </w:tc>
        <w:tc>
          <w:tcPr>
            <w:tcW w:w="120" w:type="dxa"/>
            <w:vAlign w:val="bottom"/>
            <w:tcBorders>
              <w:right w:val="single" w:sz="8" w:color="auto"/>
            </w:tcBorders>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84,345</w:t>
            </w:r>
          </w:p>
        </w:tc>
        <w:tc>
          <w:tcPr>
            <w:tcW w:w="0" w:type="dxa"/>
            <w:vAlign w:val="bottom"/>
          </w:tcPr>
          <w:p>
            <w:pPr>
              <w:spacing w:after="0"/>
              <w:rPr>
                <w:sz w:val="1"/>
                <w:szCs w:val="1"/>
                <w:color w:val="auto"/>
              </w:rPr>
            </w:pPr>
          </w:p>
        </w:tc>
      </w:tr>
      <w:tr>
        <w:trPr>
          <w:trHeight w:val="183"/>
        </w:trPr>
        <w:tc>
          <w:tcPr>
            <w:tcW w:w="53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Medicare - External</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1,866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3,075</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2,622</w:t>
            </w:r>
          </w:p>
        </w:tc>
        <w:tc>
          <w:tcPr>
            <w:tcW w:w="0" w:type="dxa"/>
            <w:vAlign w:val="bottom"/>
          </w:tcPr>
          <w:p>
            <w:pPr>
              <w:spacing w:after="0"/>
              <w:rPr>
                <w:sz w:val="1"/>
                <w:szCs w:val="1"/>
                <w:color w:val="auto"/>
              </w:rPr>
            </w:pPr>
          </w:p>
        </w:tc>
      </w:tr>
      <w:tr>
        <w:trPr>
          <w:trHeight w:val="168"/>
        </w:trPr>
        <w:tc>
          <w:tcPr>
            <w:tcW w:w="5380" w:type="dxa"/>
            <w:vAlign w:val="bottom"/>
          </w:tcPr>
          <w:p>
            <w:pPr>
              <w:ind w:left="240"/>
              <w:spacing w:after="0"/>
              <w:rPr>
                <w:sz w:val="20"/>
                <w:szCs w:val="20"/>
                <w:color w:val="auto"/>
              </w:rPr>
            </w:pPr>
            <w:r>
              <w:rPr>
                <w:rFonts w:ascii="Arial" w:cs="Arial" w:eastAsia="Arial" w:hAnsi="Arial"/>
                <w:sz w:val="13"/>
                <w:szCs w:val="13"/>
                <w:color w:val="auto"/>
              </w:rPr>
              <w:t>IFP and Other - Internal</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(729)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2,186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2,162</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2,819</w:t>
            </w:r>
          </w:p>
        </w:tc>
        <w:tc>
          <w:tcPr>
            <w:tcW w:w="0" w:type="dxa"/>
            <w:vAlign w:val="bottom"/>
          </w:tcPr>
          <w:p>
            <w:pPr>
              <w:spacing w:after="0"/>
              <w:rPr>
                <w:sz w:val="1"/>
                <w:szCs w:val="1"/>
                <w:color w:val="auto"/>
              </w:rPr>
            </w:pPr>
          </w:p>
        </w:tc>
      </w:tr>
      <w:tr>
        <w:trPr>
          <w:trHeight w:val="177"/>
        </w:trPr>
        <w:tc>
          <w:tcPr>
            <w:tcW w:w="53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IFP and Other - External</w:t>
            </w: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(330)</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472</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245</w:t>
            </w:r>
          </w:p>
        </w:tc>
        <w:tc>
          <w:tcPr>
            <w:tcW w:w="0" w:type="dxa"/>
            <w:vAlign w:val="bottom"/>
          </w:tcPr>
          <w:p>
            <w:pPr>
              <w:spacing w:after="0"/>
              <w:rPr>
                <w:sz w:val="1"/>
                <w:szCs w:val="1"/>
                <w:color w:val="auto"/>
              </w:rPr>
            </w:pPr>
          </w:p>
        </w:tc>
      </w:tr>
      <w:tr>
        <w:trPr>
          <w:trHeight w:val="175"/>
        </w:trPr>
        <w:tc>
          <w:tcPr>
            <w:tcW w:w="5380" w:type="dxa"/>
            <w:vAlign w:val="bottom"/>
          </w:tcPr>
          <w:p>
            <w:pPr>
              <w:ind w:left="20"/>
              <w:spacing w:after="0"/>
              <w:rPr>
                <w:sz w:val="20"/>
                <w:szCs w:val="20"/>
                <w:color w:val="auto"/>
              </w:rPr>
            </w:pPr>
            <w:r>
              <w:rPr>
                <w:rFonts w:ascii="Arial" w:cs="Arial" w:eastAsia="Arial" w:hAnsi="Arial"/>
                <w:sz w:val="13"/>
                <w:szCs w:val="13"/>
                <w:color w:val="auto"/>
              </w:rPr>
              <w:t>Segment profit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45,243</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28,712</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(404)</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16,480</w:t>
            </w:r>
          </w:p>
        </w:tc>
        <w:tc>
          <w:tcPr>
            <w:tcW w:w="120" w:type="dxa"/>
            <w:vAlign w:val="bottom"/>
            <w:tcBorders>
              <w:right w:val="single" w:sz="8" w:color="auto"/>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90,031</w:t>
            </w:r>
          </w:p>
        </w:tc>
        <w:tc>
          <w:tcPr>
            <w:tcW w:w="0" w:type="dxa"/>
            <w:vAlign w:val="bottom"/>
          </w:tcPr>
          <w:p>
            <w:pPr>
              <w:spacing w:after="0"/>
              <w:rPr>
                <w:sz w:val="1"/>
                <w:szCs w:val="1"/>
                <w:color w:val="auto"/>
              </w:rPr>
            </w:pPr>
          </w:p>
        </w:tc>
      </w:tr>
      <w:tr>
        <w:trPr>
          <w:trHeight w:val="21"/>
        </w:trPr>
        <w:tc>
          <w:tcPr>
            <w:tcW w:w="5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the reconciliations of GAAP net income (loss) to EBITDA and Adjusted EBITDA for each quarter of 2021 (unaudited):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Three months</w:t>
            </w:r>
          </w:p>
        </w:tc>
        <w:tc>
          <w:tcPr>
            <w:tcW w:w="100" w:type="dxa"/>
            <w:vAlign w:val="bottom"/>
          </w:tcPr>
          <w:p>
            <w:pPr>
              <w:spacing w:after="0"/>
              <w:rPr>
                <w:sz w:val="13"/>
                <w:szCs w:val="13"/>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Three months</w:t>
            </w:r>
          </w:p>
        </w:tc>
        <w:tc>
          <w:tcPr>
            <w:tcW w:w="120" w:type="dxa"/>
            <w:vAlign w:val="bottom"/>
          </w:tcPr>
          <w:p>
            <w:pPr>
              <w:spacing w:after="0"/>
              <w:rPr>
                <w:sz w:val="13"/>
                <w:szCs w:val="13"/>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Three months</w:t>
            </w:r>
          </w:p>
        </w:tc>
        <w:tc>
          <w:tcPr>
            <w:tcW w:w="120" w:type="dxa"/>
            <w:vAlign w:val="bottom"/>
          </w:tcPr>
          <w:p>
            <w:pPr>
              <w:spacing w:after="0"/>
              <w:rPr>
                <w:sz w:val="13"/>
                <w:szCs w:val="13"/>
                <w:color w:val="auto"/>
              </w:rPr>
            </w:pPr>
          </w:p>
        </w:tc>
        <w:tc>
          <w:tcPr>
            <w:tcW w:w="118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5"/>
              </w:rPr>
              <w:t>Three months</w:t>
            </w:r>
          </w:p>
        </w:tc>
        <w:tc>
          <w:tcPr>
            <w:tcW w:w="100" w:type="dxa"/>
            <w:vAlign w:val="bottom"/>
          </w:tcPr>
          <w:p>
            <w:pPr>
              <w:spacing w:after="0"/>
              <w:rPr>
                <w:sz w:val="13"/>
                <w:szCs w:val="13"/>
                <w:color w:val="auto"/>
              </w:rPr>
            </w:pPr>
          </w:p>
        </w:tc>
        <w:tc>
          <w:tcPr>
            <w:tcW w:w="1060" w:type="dxa"/>
            <w:vAlign w:val="bottom"/>
          </w:tcPr>
          <w:p>
            <w:pPr>
              <w:jc w:val="center"/>
              <w:ind w:right="57"/>
              <w:spacing w:after="0"/>
              <w:rPr>
                <w:sz w:val="20"/>
                <w:szCs w:val="20"/>
                <w:color w:val="auto"/>
              </w:rPr>
            </w:pPr>
            <w:r>
              <w:rPr>
                <w:rFonts w:ascii="Arial" w:cs="Arial" w:eastAsia="Arial" w:hAnsi="Arial"/>
                <w:sz w:val="13"/>
                <w:szCs w:val="13"/>
                <w:b w:val="1"/>
                <w:bCs w:val="1"/>
                <w:color w:val="auto"/>
                <w:w w:val="95"/>
              </w:rPr>
              <w:t>Twelve months</w:t>
            </w:r>
          </w:p>
        </w:tc>
        <w:tc>
          <w:tcPr>
            <w:tcW w:w="0" w:type="dxa"/>
            <w:vAlign w:val="bottom"/>
          </w:tcPr>
          <w:p>
            <w:pPr>
              <w:spacing w:after="0"/>
              <w:rPr>
                <w:sz w:val="1"/>
                <w:szCs w:val="1"/>
                <w:color w:val="auto"/>
              </w:rPr>
            </w:pPr>
          </w:p>
        </w:tc>
      </w:tr>
      <w:tr>
        <w:trPr>
          <w:trHeight w:val="122"/>
        </w:trPr>
        <w:tc>
          <w:tcPr>
            <w:tcW w:w="5020" w:type="dxa"/>
            <w:vAlign w:val="bottom"/>
            <w:vMerge w:val="restart"/>
          </w:tcPr>
          <w:p>
            <w:pPr>
              <w:ind w:left="20"/>
              <w:spacing w:after="0"/>
              <w:rPr>
                <w:sz w:val="20"/>
                <w:szCs w:val="20"/>
                <w:color w:val="auto"/>
              </w:rPr>
            </w:pPr>
            <w:r>
              <w:rPr>
                <w:rFonts w:ascii="Arial" w:cs="Arial" w:eastAsia="Arial" w:hAnsi="Arial"/>
                <w:sz w:val="13"/>
                <w:szCs w:val="13"/>
                <w:color w:val="auto"/>
              </w:rPr>
              <w:t>(in thousands, except percentages)</w:t>
            </w:r>
          </w:p>
        </w:tc>
        <w:tc>
          <w:tcPr>
            <w:tcW w:w="120" w:type="dxa"/>
            <w:vAlign w:val="bottom"/>
          </w:tcPr>
          <w:p>
            <w:pPr>
              <w:spacing w:after="0"/>
              <w:rPr>
                <w:sz w:val="10"/>
                <w:szCs w:val="10"/>
                <w:color w:val="auto"/>
              </w:rPr>
            </w:pPr>
          </w:p>
        </w:tc>
        <w:tc>
          <w:tcPr>
            <w:tcW w:w="11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7"/>
              </w:rPr>
              <w:t>ended Mar. 31,</w:t>
            </w:r>
          </w:p>
        </w:tc>
        <w:tc>
          <w:tcPr>
            <w:tcW w:w="100" w:type="dxa"/>
            <w:vAlign w:val="bottom"/>
          </w:tcPr>
          <w:p>
            <w:pPr>
              <w:spacing w:after="0"/>
              <w:rPr>
                <w:sz w:val="10"/>
                <w:szCs w:val="10"/>
                <w:color w:val="auto"/>
              </w:rPr>
            </w:pPr>
          </w:p>
        </w:tc>
        <w:tc>
          <w:tcPr>
            <w:tcW w:w="114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7"/>
              </w:rPr>
              <w:t>ended Jun. 30,</w:t>
            </w:r>
          </w:p>
        </w:tc>
        <w:tc>
          <w:tcPr>
            <w:tcW w:w="120" w:type="dxa"/>
            <w:vAlign w:val="bottom"/>
          </w:tcPr>
          <w:p>
            <w:pPr>
              <w:spacing w:after="0"/>
              <w:rPr>
                <w:sz w:val="10"/>
                <w:szCs w:val="10"/>
                <w:color w:val="auto"/>
              </w:rPr>
            </w:pPr>
          </w:p>
        </w:tc>
        <w:tc>
          <w:tcPr>
            <w:tcW w:w="11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ended Sep. 30,</w:t>
            </w:r>
          </w:p>
        </w:tc>
        <w:tc>
          <w:tcPr>
            <w:tcW w:w="120" w:type="dxa"/>
            <w:vAlign w:val="bottom"/>
          </w:tcPr>
          <w:p>
            <w:pPr>
              <w:spacing w:after="0"/>
              <w:rPr>
                <w:sz w:val="10"/>
                <w:szCs w:val="10"/>
                <w:color w:val="auto"/>
              </w:rPr>
            </w:pPr>
          </w:p>
        </w:tc>
        <w:tc>
          <w:tcPr>
            <w:tcW w:w="1180" w:type="dxa"/>
            <w:vAlign w:val="bottom"/>
            <w:tcBorders>
              <w:right w:val="single" w:sz="8" w:color="auto"/>
            </w:tcBorders>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8"/>
              </w:rPr>
              <w:t>ended Dec. 31,</w:t>
            </w:r>
          </w:p>
        </w:tc>
        <w:tc>
          <w:tcPr>
            <w:tcW w:w="100" w:type="dxa"/>
            <w:vAlign w:val="bottom"/>
          </w:tcPr>
          <w:p>
            <w:pPr>
              <w:spacing w:after="0"/>
              <w:rPr>
                <w:sz w:val="10"/>
                <w:szCs w:val="10"/>
                <w:color w:val="auto"/>
              </w:rPr>
            </w:pPr>
          </w:p>
        </w:tc>
        <w:tc>
          <w:tcPr>
            <w:tcW w:w="106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0" w:type="dxa"/>
            <w:vAlign w:val="bottom"/>
          </w:tcPr>
          <w:p>
            <w:pPr>
              <w:spacing w:after="0"/>
              <w:rPr>
                <w:sz w:val="1"/>
                <w:szCs w:val="1"/>
                <w:color w:val="auto"/>
              </w:rPr>
            </w:pPr>
          </w:p>
        </w:tc>
      </w:tr>
      <w:tr>
        <w:trPr>
          <w:trHeight w:val="172"/>
        </w:trPr>
        <w:tc>
          <w:tcPr>
            <w:tcW w:w="502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6"/>
              </w:rPr>
              <w:t>2021</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6"/>
              </w:rPr>
              <w:t>2021</w:t>
            </w:r>
          </w:p>
        </w:tc>
        <w:tc>
          <w:tcPr>
            <w:tcW w:w="120" w:type="dxa"/>
            <w:vAlign w:val="bottom"/>
            <w:tcBorders>
              <w:bottom w:val="single" w:sz="8" w:color="CCEEFF"/>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6"/>
              </w:rPr>
              <w:t>2021</w:t>
            </w:r>
          </w:p>
        </w:tc>
        <w:tc>
          <w:tcPr>
            <w:tcW w:w="0" w:type="dxa"/>
            <w:vAlign w:val="bottom"/>
          </w:tcPr>
          <w:p>
            <w:pPr>
              <w:spacing w:after="0"/>
              <w:rPr>
                <w:sz w:val="1"/>
                <w:szCs w:val="1"/>
                <w:color w:val="auto"/>
              </w:rPr>
            </w:pPr>
          </w:p>
        </w:tc>
      </w:tr>
      <w:tr>
        <w:trPr>
          <w:trHeight w:val="193"/>
        </w:trPr>
        <w:tc>
          <w:tcPr>
            <w:tcW w:w="5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204,179</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196,902</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211,734</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449,600</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1,062,415</w:t>
            </w:r>
          </w:p>
        </w:tc>
        <w:tc>
          <w:tcPr>
            <w:tcW w:w="0" w:type="dxa"/>
            <w:vAlign w:val="bottom"/>
          </w:tcPr>
          <w:p>
            <w:pPr>
              <w:spacing w:after="0"/>
              <w:rPr>
                <w:sz w:val="1"/>
                <w:szCs w:val="1"/>
                <w:color w:val="auto"/>
              </w:rPr>
            </w:pPr>
          </w:p>
        </w:tc>
      </w:tr>
      <w:tr>
        <w:trPr>
          <w:trHeight w:val="141"/>
        </w:trPr>
        <w:tc>
          <w:tcPr>
            <w:tcW w:w="5020" w:type="dxa"/>
            <w:vAlign w:val="bottom"/>
          </w:tcPr>
          <w:p>
            <w:pPr>
              <w:ind w:left="20"/>
              <w:spacing w:after="0" w:line="133" w:lineRule="exact"/>
              <w:rPr>
                <w:sz w:val="20"/>
                <w:szCs w:val="20"/>
                <w:color w:val="auto"/>
              </w:rPr>
            </w:pPr>
            <w:r>
              <w:rPr>
                <w:rFonts w:ascii="Arial" w:cs="Arial" w:eastAsia="Arial" w:hAnsi="Arial"/>
                <w:sz w:val="13"/>
                <w:szCs w:val="13"/>
                <w:color w:val="auto"/>
              </w:rPr>
              <w:t>Net income (loss)</w:t>
            </w:r>
          </w:p>
        </w:tc>
        <w:tc>
          <w:tcPr>
            <w:tcW w:w="120" w:type="dxa"/>
            <w:vAlign w:val="bottom"/>
          </w:tcPr>
          <w:p>
            <w:pPr>
              <w:spacing w:after="0"/>
              <w:rPr>
                <w:sz w:val="12"/>
                <w:szCs w:val="12"/>
                <w:color w:val="auto"/>
              </w:rPr>
            </w:pPr>
          </w:p>
        </w:tc>
        <w:tc>
          <w:tcPr>
            <w:tcW w:w="1040" w:type="dxa"/>
            <w:vAlign w:val="bottom"/>
          </w:tcPr>
          <w:p>
            <w:pPr>
              <w:jc w:val="right"/>
              <w:ind w:right="77"/>
              <w:spacing w:after="0" w:line="133" w:lineRule="exact"/>
              <w:rPr>
                <w:sz w:val="20"/>
                <w:szCs w:val="20"/>
                <w:color w:val="auto"/>
              </w:rPr>
            </w:pPr>
            <w:r>
              <w:rPr>
                <w:rFonts w:ascii="Arial" w:cs="Arial" w:eastAsia="Arial" w:hAnsi="Arial"/>
                <w:sz w:val="13"/>
                <w:szCs w:val="13"/>
                <w:color w:val="auto"/>
              </w:rPr>
              <w:t>(7,268)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ind w:right="77"/>
              <w:spacing w:after="0" w:line="133" w:lineRule="exact"/>
              <w:rPr>
                <w:sz w:val="20"/>
                <w:szCs w:val="20"/>
                <w:color w:val="auto"/>
              </w:rPr>
            </w:pPr>
            <w:r>
              <w:rPr>
                <w:rFonts w:ascii="Arial" w:cs="Arial" w:eastAsia="Arial" w:hAnsi="Arial"/>
                <w:sz w:val="13"/>
                <w:szCs w:val="13"/>
                <w:color w:val="auto"/>
              </w:rPr>
              <w:t>(39,175)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ind w:right="57"/>
              <w:spacing w:after="0" w:line="133" w:lineRule="exact"/>
              <w:rPr>
                <w:sz w:val="20"/>
                <w:szCs w:val="20"/>
                <w:color w:val="auto"/>
              </w:rPr>
            </w:pPr>
            <w:r>
              <w:rPr>
                <w:rFonts w:ascii="Arial" w:cs="Arial" w:eastAsia="Arial" w:hAnsi="Arial"/>
                <w:sz w:val="13"/>
                <w:szCs w:val="13"/>
                <w:color w:val="auto"/>
              </w:rPr>
              <w:t>(55,431)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ind w:right="77"/>
              <w:spacing w:after="0" w:line="133" w:lineRule="exact"/>
              <w:rPr>
                <w:sz w:val="20"/>
                <w:szCs w:val="20"/>
                <w:color w:val="auto"/>
              </w:rPr>
            </w:pPr>
            <w:r>
              <w:rPr>
                <w:rFonts w:ascii="Arial" w:cs="Arial" w:eastAsia="Arial" w:hAnsi="Arial"/>
                <w:sz w:val="13"/>
                <w:szCs w:val="13"/>
                <w:color w:val="auto"/>
              </w:rPr>
              <w:t>(432,320)</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ind w:right="77"/>
              <w:spacing w:after="0" w:line="141" w:lineRule="exact"/>
              <w:rPr>
                <w:sz w:val="20"/>
                <w:szCs w:val="20"/>
                <w:color w:val="auto"/>
              </w:rPr>
            </w:pPr>
            <w:r>
              <w:rPr>
                <w:rFonts w:ascii="Arial" w:cs="Arial" w:eastAsia="Arial" w:hAnsi="Arial"/>
                <w:sz w:val="13"/>
                <w:szCs w:val="13"/>
                <w:color w:val="auto"/>
              </w:rPr>
              <w:t>(534,194)</w:t>
            </w:r>
          </w:p>
        </w:tc>
        <w:tc>
          <w:tcPr>
            <w:tcW w:w="0" w:type="dxa"/>
            <w:vAlign w:val="bottom"/>
          </w:tcPr>
          <w:p>
            <w:pPr>
              <w:spacing w:after="0"/>
              <w:rPr>
                <w:sz w:val="1"/>
                <w:szCs w:val="1"/>
                <w:color w:val="auto"/>
              </w:rPr>
            </w:pPr>
          </w:p>
        </w:tc>
      </w:tr>
      <w:tr>
        <w:trPr>
          <w:trHeight w:val="183"/>
        </w:trPr>
        <w:tc>
          <w:tcPr>
            <w:tcW w:w="5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Interest expense</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8,688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8,277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6,921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9,619</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33,505</w:t>
            </w:r>
          </w:p>
        </w:tc>
        <w:tc>
          <w:tcPr>
            <w:tcW w:w="0" w:type="dxa"/>
            <w:vAlign w:val="bottom"/>
          </w:tcPr>
          <w:p>
            <w:pPr>
              <w:spacing w:after="0"/>
              <w:rPr>
                <w:sz w:val="1"/>
                <w:szCs w:val="1"/>
                <w:color w:val="auto"/>
              </w:rPr>
            </w:pPr>
          </w:p>
        </w:tc>
      </w:tr>
      <w:tr>
        <w:trPr>
          <w:trHeight w:val="168"/>
        </w:trPr>
        <w:tc>
          <w:tcPr>
            <w:tcW w:w="5020" w:type="dxa"/>
            <w:vAlign w:val="bottom"/>
          </w:tcPr>
          <w:p>
            <w:pPr>
              <w:ind w:left="240"/>
              <w:spacing w:after="0"/>
              <w:rPr>
                <w:sz w:val="20"/>
                <w:szCs w:val="20"/>
                <w:color w:val="auto"/>
              </w:rPr>
            </w:pPr>
            <w:r>
              <w:rPr>
                <w:rFonts w:ascii="Arial" w:cs="Arial" w:eastAsia="Arial" w:hAnsi="Arial"/>
                <w:sz w:val="13"/>
                <w:szCs w:val="13"/>
                <w:color w:val="auto"/>
              </w:rPr>
              <w:t>Income tax expense (benefit)</w:t>
            </w:r>
          </w:p>
        </w:tc>
        <w:tc>
          <w:tcPr>
            <w:tcW w:w="120" w:type="dxa"/>
            <w:vAlign w:val="bottom"/>
          </w:tcPr>
          <w:p>
            <w:pPr>
              <w:spacing w:after="0"/>
              <w:rPr>
                <w:sz w:val="14"/>
                <w:szCs w:val="14"/>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(79)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118</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84"/>
        </w:trPr>
        <w:tc>
          <w:tcPr>
            <w:tcW w:w="5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 expense</w:t>
            </w:r>
          </w:p>
        </w:tc>
        <w:tc>
          <w:tcPr>
            <w:tcW w:w="1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25,367</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25,738</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26,070</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30,332</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107,507</w:t>
            </w:r>
          </w:p>
        </w:tc>
        <w:tc>
          <w:tcPr>
            <w:tcW w:w="0" w:type="dxa"/>
            <w:vAlign w:val="bottom"/>
          </w:tcPr>
          <w:p>
            <w:pPr>
              <w:spacing w:after="0"/>
              <w:rPr>
                <w:sz w:val="1"/>
                <w:szCs w:val="1"/>
                <w:color w:val="auto"/>
              </w:rPr>
            </w:pPr>
          </w:p>
        </w:tc>
      </w:tr>
      <w:tr>
        <w:trPr>
          <w:trHeight w:val="163"/>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EBITDA</w:t>
            </w: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26,756</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(5,192)</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(22,519)</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(392,251)</w:t>
            </w:r>
          </w:p>
        </w:tc>
        <w:tc>
          <w:tcPr>
            <w:tcW w:w="120" w:type="dxa"/>
            <w:vAlign w:val="bottom"/>
            <w:tcBorders>
              <w:bottom w:val="single" w:sz="8" w:color="CCEEFF"/>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(393,206)</w:t>
            </w: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Loss on extinguishment of debt (1)</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11,935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11,935</w:t>
            </w:r>
          </w:p>
        </w:tc>
        <w:tc>
          <w:tcPr>
            <w:tcW w:w="0" w:type="dxa"/>
            <w:vAlign w:val="bottom"/>
          </w:tcPr>
          <w:p>
            <w:pPr>
              <w:spacing w:after="0"/>
              <w:rPr>
                <w:sz w:val="1"/>
                <w:szCs w:val="1"/>
                <w:color w:val="auto"/>
              </w:rPr>
            </w:pPr>
          </w:p>
        </w:tc>
      </w:tr>
      <w:tr>
        <w:trPr>
          <w:trHeight w:val="168"/>
        </w:trPr>
        <w:tc>
          <w:tcPr>
            <w:tcW w:w="5020" w:type="dxa"/>
            <w:vAlign w:val="bottom"/>
          </w:tcPr>
          <w:p>
            <w:pPr>
              <w:ind w:left="240"/>
              <w:spacing w:after="0"/>
              <w:rPr>
                <w:sz w:val="20"/>
                <w:szCs w:val="20"/>
                <w:color w:val="auto"/>
              </w:rPr>
            </w:pPr>
            <w:r>
              <w:rPr>
                <w:rFonts w:ascii="Arial" w:cs="Arial" w:eastAsia="Arial" w:hAnsi="Arial"/>
                <w:sz w:val="13"/>
                <w:szCs w:val="13"/>
                <w:color w:val="auto"/>
              </w:rPr>
              <w:t>Goodwill impairment charges (2)</w:t>
            </w:r>
          </w:p>
        </w:tc>
        <w:tc>
          <w:tcPr>
            <w:tcW w:w="12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386,553</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386,553</w:t>
            </w:r>
          </w:p>
        </w:tc>
        <w:tc>
          <w:tcPr>
            <w:tcW w:w="0" w:type="dxa"/>
            <w:vAlign w:val="bottom"/>
          </w:tcPr>
          <w:p>
            <w:pPr>
              <w:spacing w:after="0"/>
              <w:rPr>
                <w:sz w:val="1"/>
                <w:szCs w:val="1"/>
                <w:color w:val="auto"/>
              </w:rPr>
            </w:pPr>
          </w:p>
        </w:tc>
      </w:tr>
      <w:tr>
        <w:trPr>
          <w:trHeight w:val="183"/>
        </w:trPr>
        <w:tc>
          <w:tcPr>
            <w:tcW w:w="5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Share-based compensation expense (3)</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5,112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7,599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7,389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7,197</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27,297</w:t>
            </w:r>
          </w:p>
        </w:tc>
        <w:tc>
          <w:tcPr>
            <w:tcW w:w="0" w:type="dxa"/>
            <w:vAlign w:val="bottom"/>
          </w:tcPr>
          <w:p>
            <w:pPr>
              <w:spacing w:after="0"/>
              <w:rPr>
                <w:sz w:val="1"/>
                <w:szCs w:val="1"/>
                <w:color w:val="auto"/>
              </w:rPr>
            </w:pPr>
          </w:p>
        </w:tc>
      </w:tr>
      <w:tr>
        <w:trPr>
          <w:trHeight w:val="168"/>
        </w:trPr>
        <w:tc>
          <w:tcPr>
            <w:tcW w:w="5020" w:type="dxa"/>
            <w:vAlign w:val="bottom"/>
          </w:tcPr>
          <w:p>
            <w:pPr>
              <w:ind w:left="240"/>
              <w:spacing w:after="0"/>
              <w:rPr>
                <w:sz w:val="20"/>
                <w:szCs w:val="20"/>
                <w:color w:val="auto"/>
              </w:rPr>
            </w:pPr>
            <w:r>
              <w:rPr>
                <w:rFonts w:ascii="Arial" w:cs="Arial" w:eastAsia="Arial" w:hAnsi="Arial"/>
                <w:sz w:val="13"/>
                <w:szCs w:val="13"/>
                <w:color w:val="auto"/>
              </w:rPr>
              <w:t>Loss on sublease (4)</w:t>
            </w:r>
          </w:p>
        </w:tc>
        <w:tc>
          <w:tcPr>
            <w:tcW w:w="12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tcPr>
          <w:p>
            <w:pPr>
              <w:jc w:val="right"/>
              <w:ind w:right="97"/>
              <w:spacing w:after="0"/>
              <w:rPr>
                <w:sz w:val="20"/>
                <w:szCs w:val="20"/>
                <w:color w:val="auto"/>
              </w:rPr>
            </w:pPr>
            <w:r>
              <w:rPr>
                <w:rFonts w:ascii="Arial" w:cs="Arial" w:eastAsia="Arial" w:hAnsi="Arial"/>
                <w:sz w:val="13"/>
                <w:szCs w:val="13"/>
                <w:color w:val="auto"/>
              </w:rPr>
              <w:t>1,062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1,062</w:t>
            </w:r>
          </w:p>
        </w:tc>
        <w:tc>
          <w:tcPr>
            <w:tcW w:w="0" w:type="dxa"/>
            <w:vAlign w:val="bottom"/>
          </w:tcPr>
          <w:p>
            <w:pPr>
              <w:spacing w:after="0"/>
              <w:rPr>
                <w:sz w:val="1"/>
                <w:szCs w:val="1"/>
                <w:color w:val="auto"/>
              </w:rPr>
            </w:pPr>
          </w:p>
        </w:tc>
      </w:tr>
      <w:tr>
        <w:trPr>
          <w:trHeight w:val="177"/>
        </w:trPr>
        <w:tc>
          <w:tcPr>
            <w:tcW w:w="50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Legal fees (5)</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180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180</w:t>
            </w:r>
          </w:p>
        </w:tc>
        <w:tc>
          <w:tcPr>
            <w:tcW w:w="0" w:type="dxa"/>
            <w:vAlign w:val="bottom"/>
          </w:tcPr>
          <w:p>
            <w:pPr>
              <w:spacing w:after="0"/>
              <w:rPr>
                <w:sz w:val="1"/>
                <w:szCs w:val="1"/>
                <w:color w:val="auto"/>
              </w:rPr>
            </w:pPr>
          </w:p>
        </w:tc>
      </w:tr>
      <w:tr>
        <w:trPr>
          <w:trHeight w:val="175"/>
        </w:trPr>
        <w:tc>
          <w:tcPr>
            <w:tcW w:w="5020" w:type="dxa"/>
            <w:vAlign w:val="bottom"/>
          </w:tcPr>
          <w:p>
            <w:pPr>
              <w:ind w:left="20"/>
              <w:spacing w:after="0"/>
              <w:rPr>
                <w:sz w:val="20"/>
                <w:szCs w:val="20"/>
                <w:color w:val="auto"/>
              </w:rPr>
            </w:pPr>
            <w:r>
              <w:rPr>
                <w:rFonts w:ascii="Arial" w:cs="Arial" w:eastAsia="Arial" w:hAnsi="Arial"/>
                <w:sz w:val="13"/>
                <w:szCs w:val="13"/>
                <w:b w:val="1"/>
                <w:bCs w:val="1"/>
                <w:color w:val="auto"/>
              </w:rPr>
              <w:t>Adjusted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04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32,048</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14,342</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(14,068)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6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1,499</w:t>
            </w:r>
          </w:p>
        </w:tc>
        <w:tc>
          <w:tcPr>
            <w:tcW w:w="120" w:type="dxa"/>
            <w:vAlign w:val="bottom"/>
            <w:tcBorders>
              <w:right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33,821</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EBITDA margin</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15.7 %</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7.3 %</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0.3 %</w:t>
            </w: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3.2 %</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ind w:left="320" w:hanging="312"/>
        <w:spacing w:after="0"/>
        <w:tabs>
          <w:tab w:leader="none" w:pos="320" w:val="left"/>
        </w:tabs>
        <w:numPr>
          <w:ilvl w:val="0"/>
          <w:numId w:val="10"/>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loss on debt extinguishment related to the Initial Term Loan Facility.</w:t>
      </w:r>
    </w:p>
    <w:p>
      <w:pPr>
        <w:ind w:left="320" w:hanging="312"/>
        <w:spacing w:after="0"/>
        <w:tabs>
          <w:tab w:leader="none" w:pos="320" w:val="left"/>
        </w:tabs>
        <w:numPr>
          <w:ilvl w:val="0"/>
          <w:numId w:val="10"/>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goodwill impairment charges related to the Medicare— Internal and Medicare— External reporting units for the three months ended December 31, 2021.</w:t>
      </w:r>
    </w:p>
    <w:p>
      <w:pPr>
        <w:ind w:left="320" w:hanging="312"/>
        <w:spacing w:after="0"/>
        <w:tabs>
          <w:tab w:leader="none" w:pos="320" w:val="left"/>
        </w:tabs>
        <w:numPr>
          <w:ilvl w:val="0"/>
          <w:numId w:val="10"/>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non-cash share-based compensation expense relating to equity awards.</w:t>
      </w:r>
    </w:p>
    <w:p>
      <w:pPr>
        <w:ind w:left="320" w:hanging="312"/>
        <w:spacing w:after="0"/>
        <w:tabs>
          <w:tab w:leader="none" w:pos="320" w:val="left"/>
        </w:tabs>
        <w:numPr>
          <w:ilvl w:val="0"/>
          <w:numId w:val="10"/>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loss related to a sublease agreement entered into during the twelve months ended December 31, 2021.</w:t>
      </w:r>
    </w:p>
    <w:p>
      <w:pPr>
        <w:ind w:left="320" w:hanging="312"/>
        <w:spacing w:after="0"/>
        <w:tabs>
          <w:tab w:leader="none" w:pos="320" w:val="left"/>
        </w:tabs>
        <w:numPr>
          <w:ilvl w:val="0"/>
          <w:numId w:val="10"/>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non-recurring legal fees unrelated to our core operations.</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14</w:t>
      </w:r>
    </w:p>
    <w:sectPr>
      <w:pgSz w:w="11900" w:h="16838" w:orient="portrait"/>
      <w:cols w:equalWidth="0" w:num="1">
        <w:col w:w="11240"/>
      </w:cols>
      <w:pgMar w:left="320" w:top="7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lvl w:ilvl="1">
      <w:lvlJc w:val="left"/>
      <w:lvlText w:val="◦"/>
      <w:numFmt w:val="bullet"/>
      <w:start w:val="1"/>
    </w:lvl>
  </w:abstractNum>
  <w:abstractNum w:abstractNumId="3">
    <w:nsid w:val="41B71EFB"/>
    <w:multiLevelType w:val="hybridMultilevel"/>
    <w:lvl w:ilvl="0">
      <w:lvlJc w:val="left"/>
      <w:lvlText w:val="•"/>
      <w:numFmt w:val="bullet"/>
      <w:start w:val="1"/>
    </w:lvl>
    <w:lvl w:ilvl="1">
      <w:lvlJc w:val="left"/>
      <w:lvlText w:val="◦"/>
      <w:numFmt w:val="bullet"/>
      <w:start w:val="1"/>
    </w:lvl>
  </w:abstractNum>
  <w:abstractNum w:abstractNumId="4">
    <w:nsid w:val="79E2A9E3"/>
    <w:multiLevelType w:val="hybridMultilevel"/>
    <w:lvl w:ilvl="0">
      <w:lvlJc w:val="left"/>
      <w:lvlText w:val="•"/>
      <w:numFmt w:val="bullet"/>
      <w:start w:val="1"/>
    </w:lvl>
    <w:lvl w:ilvl="1">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2022-03-15T15:31:21Z</dcterms:created>
  <dcterms:modified xsi:type="dcterms:W3CDTF">2022-03-15T15:31:21Z</dcterms:modified>
</cp:coreProperties>
</file>