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288" w:before="300" w:after="300"/>
        <w:jc w:val="center"/>
        <w:rPr>
          <w:rFonts w:ascii="Arial;sans-serif" w:hAnsi="Arial;sans-serif"/>
          <w:b/>
          <w:color w:val="000000"/>
          <w:sz w:val="44"/>
        </w:rPr>
      </w:pPr>
      <w:r>
        <w:rPr>
          <w:rFonts w:ascii="Arial;sans-serif" w:hAnsi="Arial;sans-serif"/>
          <w:b/>
          <w:color w:val="000000"/>
          <w:sz w:val="44"/>
        </w:rPr>
        <w:t>FORM 8-K</w: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60" w:after="283"/>
        <w:jc w:val="center"/>
        <w:rPr>
          <w:rFonts w:ascii="Arial;sans-serif" w:hAnsi="Arial;sans-serif"/>
          <w:b/>
          <w:color w:val="000000"/>
          <w:sz w:val="22"/>
        </w:rPr>
      </w:pPr>
      <w:r>
        <w:rPr>
          <w:rFonts w:ascii="Arial;sans-serif" w:hAnsi="Arial;sans-serif"/>
          <w:b/>
          <w:color w:val="000000"/>
          <w:sz w:val="22"/>
        </w:rPr>
        <w:t>PURSUANT TO SECTION 13 OR 15(d) OF THE SECURITIES EXCHANGE ACT OF 1934</w:t>
      </w:r>
    </w:p>
    <w:p>
      <w:pPr>
        <w:pStyle w:val="TextBody"/>
        <w:bidi w:val="0"/>
        <w:spacing w:lineRule="auto" w:line="288" w:before="120" w:after="283"/>
        <w:jc w:val="center"/>
        <w:rPr>
          <w:rFonts w:ascii="Arial;sans-serif" w:hAnsi="Arial;sans-serif"/>
          <w:b w:val="false"/>
          <w:color w:val="000000"/>
          <w:sz w:val="22"/>
        </w:rPr>
      </w:pPr>
      <w:r>
        <w:rPr>
          <w:rFonts w:ascii="Arial;sans-serif" w:hAnsi="Arial;sans-serif"/>
          <w:b w:val="false"/>
          <w:color w:val="000000"/>
          <w:sz w:val="22"/>
        </w:rPr>
        <w:t>Date of Report (Date of earliest event reported): March 31, 2026</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center"/>
        <w:rPr>
          <w:rFonts w:ascii="Arial;sans-serif" w:hAnsi="Arial;sans-serif"/>
          <w:b/>
          <w:color w:val="000000"/>
          <w:sz w:val="44"/>
        </w:rPr>
      </w:pPr>
      <w:r>
        <w:rPr>
          <w:rFonts w:ascii="Arial;sans-serif" w:hAnsi="Arial;sans-serif"/>
          <w:b/>
          <w:color w:val="000000"/>
          <w:sz w:val="44"/>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tbl>
      <w:tblPr>
        <w:tblW w:w="7919" w:type="dxa"/>
        <w:jc w:val="left"/>
        <w:tblInd w:w="0" w:type="dxa"/>
        <w:tblLayout w:type="fixed"/>
        <w:tblCellMar>
          <w:top w:w="28" w:type="dxa"/>
          <w:left w:w="28" w:type="dxa"/>
          <w:bottom w:w="28" w:type="dxa"/>
          <w:right w:w="28" w:type="dxa"/>
        </w:tblCellMar>
      </w:tblPr>
      <w:tblGrid>
        <w:gridCol w:w="1159"/>
        <w:gridCol w:w="1021"/>
        <w:gridCol w:w="1030"/>
        <w:gridCol w:w="682"/>
        <w:gridCol w:w="682"/>
        <w:gridCol w:w="690"/>
        <w:gridCol w:w="773"/>
        <w:gridCol w:w="773"/>
        <w:gridCol w:w="1109"/>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001-39390</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bl>
    <w:tbl>
      <w:tblPr>
        <w:tblW w:w="4598" w:type="dxa"/>
        <w:jc w:val="left"/>
        <w:tblInd w:w="0" w:type="dxa"/>
        <w:tblLayout w:type="fixed"/>
        <w:tblCellMar>
          <w:top w:w="28" w:type="dxa"/>
          <w:left w:w="28" w:type="dxa"/>
          <w:bottom w:w="28" w:type="dxa"/>
          <w:right w:w="28" w:type="dxa"/>
        </w:tblCellMar>
      </w:tblPr>
      <w:tblGrid>
        <w:gridCol w:w="618"/>
        <w:gridCol w:w="543"/>
        <w:gridCol w:w="543"/>
        <w:gridCol w:w="543"/>
        <w:gridCol w:w="543"/>
        <w:gridCol w:w="552"/>
        <w:gridCol w:w="109"/>
        <w:gridCol w:w="109"/>
        <w:gridCol w:w="109"/>
        <w:gridCol w:w="272"/>
        <w:gridCol w:w="272"/>
        <w:gridCol w:w="385"/>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3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222 W Merchandise Mart Plaza Suite 1750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17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16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5"/>
        <w:gridCol w:w="2445"/>
        <w:gridCol w:w="34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6518" w:type="dxa"/>
        <w:jc w:val="left"/>
        <w:tblInd w:w="0" w:type="dxa"/>
        <w:tblLayout w:type="fixed"/>
        <w:tblCellMar>
          <w:top w:w="28" w:type="dxa"/>
          <w:left w:w="28" w:type="dxa"/>
          <w:bottom w:w="28" w:type="dxa"/>
          <w:right w:w="28" w:type="dxa"/>
        </w:tblCellMar>
      </w:tblPr>
      <w:tblGrid>
        <w:gridCol w:w="786"/>
        <w:gridCol w:w="690"/>
        <w:gridCol w:w="699"/>
        <w:gridCol w:w="109"/>
        <w:gridCol w:w="109"/>
        <w:gridCol w:w="109"/>
        <w:gridCol w:w="524"/>
        <w:gridCol w:w="524"/>
        <w:gridCol w:w="526"/>
        <w:gridCol w:w="109"/>
        <w:gridCol w:w="109"/>
        <w:gridCol w:w="109"/>
        <w:gridCol w:w="619"/>
        <w:gridCol w:w="619"/>
        <w:gridCol w:w="877"/>
      </w:tblGrid>
      <w:tr>
        <w:trPr/>
        <w:tc>
          <w:tcPr>
            <w:tcW w:w="7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Name of each exchange </w:t>
              <w:br/>
              <w:t>on which registered</w:t>
            </w:r>
          </w:p>
        </w:tc>
      </w:tr>
      <w:tr>
        <w:trPr/>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The Nasdaq Global Market</w:t>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Emerging growth company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On March 31, 2026, GoHealth, Inc. issued a press release announcing its financial results for the twelve months ended December 31, 2025. A copy of the press release is furnished as Exhibit 99.1 to this Current Report on Form 8-K.</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506"/>
        <w:gridCol w:w="444"/>
        <w:gridCol w:w="446"/>
        <w:gridCol w:w="109"/>
        <w:gridCol w:w="109"/>
        <w:gridCol w:w="109"/>
        <w:gridCol w:w="2482"/>
        <w:gridCol w:w="2482"/>
        <w:gridCol w:w="3518"/>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1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goco-20251231xexhibit991.htm">
              <w:r>
                <w:rPr>
                  <w:rStyle w:val="InternetLink"/>
                  <w:rFonts w:ascii="Arial;sans-serif" w:hAnsi="Arial;sans-serif"/>
                  <w:b w:val="false"/>
                  <w:color w:val="000080"/>
                  <w:sz w:val="18"/>
                  <w:u w:val="single"/>
                </w:rPr>
                <w:t xml:space="preserve">Press release, dated </w:t>
              </w:r>
            </w:hyperlink>
            <w:hyperlink w:anchor="goco-20251231xexhibit991.htm">
              <w:r>
                <w:rPr>
                  <w:rStyle w:val="InternetLink"/>
                  <w:rFonts w:ascii="Arial;sans-serif" w:hAnsi="Arial;sans-serif"/>
                  <w:b w:val="false"/>
                  <w:color w:val="000080"/>
                  <w:sz w:val="18"/>
                  <w:u w:val="single"/>
                </w:rPr>
                <w:t>March</w:t>
              </w:r>
            </w:hyperlink>
            <w:hyperlink w:anchor="goco-20251231xexhibit991.htm">
              <w:r>
                <w:rPr>
                  <w:rStyle w:val="InternetLink"/>
                  <w:rFonts w:ascii="Arial;sans-serif" w:hAnsi="Arial;sans-serif"/>
                  <w:b w:val="false"/>
                  <w:color w:val="000080"/>
                  <w:sz w:val="18"/>
                  <w:u w:val="single"/>
                </w:rPr>
                <w:t xml:space="preserve"> </w:t>
              </w:r>
            </w:hyperlink>
            <w:hyperlink w:anchor="goco-20251231xexhibit991.htm">
              <w:r>
                <w:rPr>
                  <w:rStyle w:val="InternetLink"/>
                  <w:rFonts w:ascii="Arial;sans-serif" w:hAnsi="Arial;sans-serif"/>
                  <w:b w:val="false"/>
                  <w:color w:val="000080"/>
                  <w:sz w:val="18"/>
                  <w:u w:val="single"/>
                </w:rPr>
                <w:t>31</w:t>
              </w:r>
            </w:hyperlink>
            <w:hyperlink w:anchor="goco-20251231xexhibit991.htm">
              <w:r>
                <w:rPr>
                  <w:rStyle w:val="InternetLink"/>
                  <w:rFonts w:ascii="Arial;sans-serif" w:hAnsi="Arial;sans-serif"/>
                  <w:b w:val="false"/>
                  <w:color w:val="000080"/>
                  <w:sz w:val="18"/>
                  <w:u w:val="single"/>
                </w:rPr>
                <w:t>, 202</w:t>
              </w:r>
            </w:hyperlink>
            <w:hyperlink w:anchor="goco-20251231xexhibit991.htm">
              <w:r>
                <w:rPr>
                  <w:rStyle w:val="InternetLink"/>
                  <w:rFonts w:ascii="Arial;sans-serif" w:hAnsi="Arial;sans-serif"/>
                  <w:b w:val="false"/>
                  <w:color w:val="000080"/>
                  <w:sz w:val="18"/>
                  <w:u w:val="single"/>
                </w:rPr>
                <w:t>6</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6254"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215"/>
        <w:gridCol w:w="215"/>
        <w:gridCol w:w="215"/>
        <w:gridCol w:w="1071"/>
        <w:gridCol w:w="1071"/>
        <w:gridCol w:w="153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Brendan Shanahan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Brendan Shanahan</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73"/>
        <w:gridCol w:w="854"/>
        <w:gridCol w:w="854"/>
        <w:gridCol w:w="854"/>
        <w:gridCol w:w="854"/>
        <w:gridCol w:w="854"/>
        <w:gridCol w:w="1450"/>
        <w:gridCol w:w="1450"/>
        <w:gridCol w:w="2062"/>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Exhibit 99.1</w:t>
            </w:r>
          </w:p>
        </w:tc>
      </w:tr>
      <w:tr>
        <w:trPr/>
        <w:tc>
          <w:tcPr>
            <w:tcW w:w="5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51D8E"/>
                <w:sz w:val="28"/>
              </w:rPr>
            </w:pPr>
            <w:r>
              <w:rPr>
                <w:rFonts w:ascii="Arial;sans-serif" w:hAnsi="Arial;sans-serif"/>
                <w:b/>
                <w:color w:val="151D8E"/>
                <w:sz w:val="28"/>
              </w:rPr>
              <w:t>GoHealth Prioritizes Consumer Fit, Renewal Economics and Cash Discipline While Continuing Leadership in Special Needs Plans; Reports Full Year 2025 Results</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Arial;sans-serif" w:hAnsi="Arial;sans-serif"/>
          <w:b w:val="false"/>
          <w:i/>
          <w:color w:val="000000"/>
          <w:sz w:val="18"/>
        </w:rPr>
      </w:pPr>
      <w:r>
        <w:rPr>
          <w:rFonts w:ascii="Arial;sans-serif" w:hAnsi="Arial;sans-serif"/>
          <w:b w:val="false"/>
          <w:i/>
          <w:color w:val="000000"/>
          <w:sz w:val="18"/>
        </w:rPr>
        <w:t xml:space="preserve">Disciplined posture reflects consumer-first enrollment, an intentional Medicare Advantage pullback driven by market realities, continued special needs plans (“SNP”) leadership, targeted AI investment, and a focus on cash, back-book durability, and consolidation readiness </w: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val="false"/>
          <w:i/>
          <w:color w:val="000000"/>
          <w:sz w:val="18"/>
        </w:rPr>
        <w:t>CHICAGO, March 31, 2026</w:t>
      </w:r>
      <w:r>
        <w:rPr>
          <w:color w:val="000000"/>
        </w:rPr>
        <w:t xml:space="preserve"> — </w:t>
      </w:r>
      <w:r>
        <w:rPr>
          <w:rFonts w:ascii="Arial;sans-serif" w:hAnsi="Arial;sans-serif"/>
          <w:b w:val="false"/>
          <w:color w:val="000000"/>
          <w:sz w:val="18"/>
        </w:rPr>
        <w:t>GoHealth, Inc. (NASDAQ: GOCO) (“GoHealth” or the “Company”), a leading health insurance marketplace and Medicare-focused digital health company, today announced financial results for the three and twelve months ended December 31, 2025.</w:t>
      </w:r>
    </w:p>
    <w:p>
      <w:pPr>
        <w:pStyle w:val="TextBody"/>
        <w:bidi w:val="0"/>
        <w:spacing w:before="120" w:after="283"/>
        <w:jc w:val="left"/>
        <w:rPr/>
      </w:pPr>
      <w:r>
        <w:rPr/>
      </w:r>
    </w:p>
    <w:p>
      <w:pPr>
        <w:pStyle w:val="TextBody"/>
        <w:bidi w:val="0"/>
        <w:spacing w:lineRule="auto" w:line="264" w:before="120" w:after="283"/>
        <w:jc w:val="left"/>
        <w:rPr>
          <w:rFonts w:ascii="Arial;sans-serif" w:hAnsi="Arial;sans-serif"/>
          <w:b/>
          <w:i/>
          <w:color w:val="000000"/>
          <w:sz w:val="18"/>
        </w:rPr>
      </w:pPr>
      <w:r>
        <w:rPr>
          <w:rFonts w:ascii="Arial;sans-serif" w:hAnsi="Arial;sans-serif"/>
          <w:b/>
          <w:i/>
          <w:color w:val="000000"/>
          <w:sz w:val="18"/>
        </w:rPr>
        <w:t xml:space="preserve">GoHealth’s Chief Executive Officer, Vijay Kotte commented, "The Medicare Advantage market remains in a structural reset going into 2026, and our view is that health plans continue to prioritize retention, member quality, and disciplined unit economics. We anticipated many of these dynamics earlier in the cycle, and our pullback in 2025 was intentional. In this environment, consumers need a trusted partner more than ever. Our focus is helping ensure members enroll in plans that truly fit their needs, even when that means confirming their current coverage remains the best option. At the same time, we are maintaining disciplined focus on cash and improving our capital structure, while continuing tactical investments in technology and AI that improve efficiency today, support lower acquisition costs now and in the future, and position us to ramp quickly as conditions improve.” </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GoHealth navigated a materially different Medicare Advantage environment by intentionally pulling back Medicare Advantage activity, while aiming to preserve a consumer-first approach, protect liquidity, and invest in core capabilities, which should enable GoHealth to scale when market conditions stabilize. Based on its analysis, GoHealth believes health plans will continue to emphasize margin integrity, renewal stability, and long-term member value over raw enrollment growth.</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 xml:space="preserve">GoHealth anticipated this shift and aligned its operating model, accordingly, focusing on: </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Retention and High-Quality Member Book:</w:t>
      </w:r>
      <w:r>
        <w:rPr>
          <w:color w:val="000000"/>
        </w:rPr>
        <w:t xml:space="preserve"> </w:t>
      </w:r>
      <w:r>
        <w:rPr>
          <w:rFonts w:ascii="Arial;sans-serif" w:hAnsi="Arial;sans-serif"/>
          <w:b w:val="false"/>
          <w:color w:val="000000"/>
          <w:sz w:val="18"/>
        </w:rPr>
        <w:t>Delivered materially improved year-over-year retention, reinforcing cohort quality and proprietary PlanFit logic while supporting the durability of GoHealth’s commission receivable asset and broader back book.</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Intentional Pullback Grounded in Consumer Fit and Renewal Economics:</w:t>
      </w:r>
      <w:r>
        <w:rPr>
          <w:color w:val="000000"/>
        </w:rPr>
        <w:t xml:space="preserve"> </w:t>
      </w:r>
      <w:r>
        <w:rPr>
          <w:rFonts w:ascii="Arial;sans-serif" w:hAnsi="Arial;sans-serif"/>
          <w:b w:val="false"/>
          <w:color w:val="000000"/>
          <w:sz w:val="18"/>
        </w:rPr>
        <w:t>Deliberately pulled back Medicare Advantage activity where first-renewal probability did not support attractive economics, prioritizing appropriate plan fit for consumers and long-term cohort quality.</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Leadership with Special Needs Plans (“SNP”) populations:</w:t>
      </w:r>
      <w:r>
        <w:rPr>
          <w:color w:val="000000"/>
        </w:rPr>
        <w:t xml:space="preserve"> </w:t>
      </w:r>
      <w:r>
        <w:rPr>
          <w:rFonts w:ascii="Arial;sans-serif" w:hAnsi="Arial;sans-serif"/>
          <w:b w:val="false"/>
          <w:color w:val="000000"/>
          <w:sz w:val="18"/>
        </w:rPr>
        <w:t>Continued leadership in key SNP categories due to our proprietary enrollment and servicing tools, technology and experience, as health plans pursued targeted growth while member stability, renewal duration, and outcomes remained especially important.</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     </w:t>
      </w:r>
      <w:r>
        <w:rPr>
          <w:rFonts w:ascii="Arial;sans-serif" w:hAnsi="Arial;sans-serif"/>
          <w:b w:val="false"/>
          <w:i/>
          <w:color w:val="000000"/>
          <w:sz w:val="18"/>
        </w:rPr>
        <w:t>Technology and AI Investment:</w:t>
      </w:r>
      <w:r>
        <w:rPr>
          <w:color w:val="000000"/>
        </w:rPr>
        <w:t xml:space="preserve"> </w:t>
      </w:r>
      <w:r>
        <w:rPr>
          <w:rFonts w:ascii="Arial;sans-serif" w:hAnsi="Arial;sans-serif"/>
          <w:b w:val="false"/>
          <w:color w:val="000000"/>
          <w:sz w:val="18"/>
        </w:rPr>
        <w:t>Continued targeted investment in built-for-purpose, proprietary agentic AI and automation to lower customer acquisition costs, improve year-one payback, reduce operational friction, and enable agents with more capacity to focus on top-of-license advisory work, while supporting a consumer-first approach by helping ensure members are matched with the plans that best meet their needs.</w:t>
      </w:r>
    </w:p>
    <w:p>
      <w:pPr>
        <w:pStyle w:val="TextBody"/>
        <w:bidi w:val="0"/>
        <w:spacing w:before="0" w:after="0"/>
        <w:ind w:left="0" w:right="0" w:firstLine="540"/>
        <w:jc w:val="left"/>
        <w:rPr/>
      </w:pPr>
      <w:r>
        <w:rPr/>
      </w:r>
    </w:p>
    <w:p>
      <w:pPr>
        <w:pStyle w:val="TextBody"/>
        <w:bidi w:val="0"/>
        <w:spacing w:lineRule="auto" w:line="264" w:before="0" w:after="0"/>
        <w:ind w:left="0" w:right="0" w:hanging="360"/>
        <w:jc w:val="left"/>
        <w:rPr/>
      </w:pPr>
      <w:r>
        <w:rPr>
          <w:color w:val="000000"/>
        </w:rPr>
        <w:t>•     </w:t>
      </w:r>
      <w:r>
        <w:rPr>
          <w:rFonts w:ascii="Arial;sans-serif" w:hAnsi="Arial;sans-serif"/>
          <w:b w:val="false"/>
          <w:i/>
          <w:color w:val="000000"/>
          <w:sz w:val="18"/>
        </w:rPr>
        <w:t>Strategic Flexibility:</w:t>
      </w:r>
      <w:r>
        <w:rPr>
          <w:color w:val="000000"/>
        </w:rPr>
        <w:t xml:space="preserve"> </w:t>
      </w:r>
      <w:r>
        <w:rPr>
          <w:rFonts w:ascii="Arial;sans-serif" w:hAnsi="Arial;sans-serif"/>
          <w:b w:val="false"/>
          <w:color w:val="000000"/>
          <w:sz w:val="18"/>
        </w:rPr>
        <w:t xml:space="preserve">Optimized cash, protected the commissions receivable, and preserved operating flexibility </w:t>
      </w:r>
    </w:p>
    <w:p>
      <w:pPr>
        <w:pStyle w:val="TextBody"/>
        <w:bidi w:val="0"/>
        <w:spacing w:before="0" w:after="0"/>
        <w:ind w:left="0" w:right="0" w:firstLine="54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 xml:space="preserve">Consolidation Readiness: </w:t>
      </w:r>
      <w:r>
        <w:rPr>
          <w:rFonts w:ascii="Arial;sans-serif" w:hAnsi="Arial;sans-serif"/>
          <w:b w:val="false"/>
          <w:color w:val="000000"/>
          <w:sz w:val="18"/>
        </w:rPr>
        <w:t>Maintaining high conviction that the fragmented broker landscape will consolidate, positioning GoHealth to lead disciplined integration opportunities with the right partners at the right time.</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"Our full-year performance reflect disciplined execution in a market where health plans are prioritizing margin stability and member quality”, said Brendan Shanahan, CFO of GoHealth. “Operating cash flow will remain the primary lens for our capital allocation decisions. As we move forward, we are concentrating investment where we have confidence in durable returns, strengthening retention, and continuing to improve efficiency through practical automation and AI."</w:t>
      </w:r>
    </w:p>
    <w:p>
      <w:pPr>
        <w:pStyle w:val="TextBody"/>
        <w:bidi w:val="0"/>
        <w:spacing w:before="0" w:after="0"/>
        <w:jc w:val="left"/>
        <w:rPr/>
      </w:pPr>
      <w:r>
        <w:rPr/>
      </w:r>
    </w:p>
    <w:p>
      <w:pPr>
        <w:pStyle w:val="TextBody"/>
        <w:bidi w:val="0"/>
        <w:spacing w:lineRule="auto" w:line="264" w:before="0" w:after="0"/>
        <w:jc w:val="left"/>
        <w:rPr>
          <w:rFonts w:ascii="Arial;sans-serif" w:hAnsi="Arial;sans-serif"/>
          <w:b/>
          <w:color w:val="000000"/>
          <w:sz w:val="18"/>
        </w:rPr>
      </w:pPr>
      <w:r>
        <w:rPr>
          <w:rFonts w:ascii="Arial;sans-serif" w:hAnsi="Arial;sans-serif"/>
          <w:b/>
          <w:color w:val="000000"/>
          <w:sz w:val="18"/>
        </w:rPr>
        <w:t>About GoHealth, Inc.</w:t>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 xml:space="preserve">GoHealth is a leading health insurance marketplace and Medicare-focused digital health company whose purpose is to compassionately ensure consumers’ peace of mind when making healthcare decisions so they can focus on living life. For many of these consumers, enrolling in a health insurance plan is confusing and difficult, and seemingly small differences between health plans may lead to significant out-of-pocket costs or lack of access to critical providers and medicines. GoHealth’s proprietary technology platform leverages modern machine-learning algorithms, powered by over two decades of insurance purchasing behavior, to reimagine the process of matching a health plan to a consumer’s specific needs. Its unbiased, technology-driven marketplace coupled with highly skilled licensed agents has facilitated the enrollment of millions of consumers in Medicare plans since GoHealth’s inception. For more information, visit https://www.gohealth.com.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784" w:type="dxa"/>
        <w:jc w:val="left"/>
        <w:tblInd w:w="0" w:type="dxa"/>
        <w:tblLayout w:type="fixed"/>
        <w:tblCellMar>
          <w:top w:w="28" w:type="dxa"/>
          <w:left w:w="28" w:type="dxa"/>
          <w:bottom w:w="28" w:type="dxa"/>
          <w:right w:w="28" w:type="dxa"/>
        </w:tblCellMar>
      </w:tblPr>
      <w:tblGrid>
        <w:gridCol w:w="570"/>
        <w:gridCol w:w="501"/>
        <w:gridCol w:w="713"/>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Investor Relations:</w:t>
            </w:r>
          </w:p>
        </w:tc>
      </w:tr>
      <w:tr>
        <w:trPr/>
        <w:tc>
          <w:tcPr>
            <w:tcW w:w="178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John Shave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tbl>
      <w:tblPr>
        <w:tblW w:w="2626" w:type="dxa"/>
        <w:jc w:val="left"/>
        <w:tblInd w:w="0" w:type="dxa"/>
        <w:tblLayout w:type="fixed"/>
        <w:tblCellMar>
          <w:top w:w="28" w:type="dxa"/>
          <w:left w:w="28" w:type="dxa"/>
          <w:bottom w:w="28" w:type="dxa"/>
          <w:right w:w="28" w:type="dxa"/>
        </w:tblCellMar>
      </w:tblPr>
      <w:tblGrid>
        <w:gridCol w:w="840"/>
        <w:gridCol w:w="739"/>
        <w:gridCol w:w="1047"/>
      </w:tblGrid>
      <w:tr>
        <w:trPr/>
        <w:tc>
          <w:tcPr>
            <w:tcW w:w="84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JShave@gohealth.com</w:t>
            </w:r>
          </w:p>
        </w:tc>
      </w:tr>
      <w:tr>
        <w:trPr/>
        <w:tc>
          <w:tcPr>
            <w:tcW w:w="2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color w:val="000000"/>
                <w:sz w:val="18"/>
              </w:rPr>
            </w:pPr>
            <w:r>
              <w:rPr>
                <w:rFonts w:ascii="Arial;sans-serif" w:hAnsi="Arial;sans-serif"/>
                <w:b/>
                <w:color w:val="000000"/>
                <w:sz w:val="18"/>
              </w:rPr>
              <w:t>Media Relations:</w:t>
            </w:r>
          </w:p>
        </w:tc>
      </w:tr>
      <w:tr>
        <w:trPr/>
        <w:tc>
          <w:tcPr>
            <w:tcW w:w="2626"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Pressinquiries@gohealth.com</w:t>
            </w:r>
          </w:p>
        </w:tc>
      </w:tr>
    </w:tbl>
    <w:p>
      <w:pPr>
        <w:pStyle w:val="TextBody"/>
        <w:bidi w:val="0"/>
        <w:spacing w:before="0" w:after="0"/>
        <w:jc w:val="left"/>
        <w:rPr/>
      </w:pPr>
      <w:r>
        <w:rPr/>
      </w:r>
    </w:p>
    <w:p>
      <w:pPr>
        <w:pStyle w:val="TextBody"/>
        <w:bidi w:val="0"/>
        <w:spacing w:lineRule="auto" w:line="264" w:before="0" w:after="0"/>
        <w:jc w:val="left"/>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This press release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press release may be forward-looking statements. Statements regarding our liquidity, future results of operations and financial position, business strategy and plans and objectives of management for future operations, including, among others, our pursuit of strategic alternatives and other shifts in our strategy, health plans’ respective decisions related to plan offerings and associated compensation for broker services, our expected growth, future capital expenditures, debt service obligations, future ability to continue as a going concern, adoption and use of artificial intelligence technologies, and the impact on our business from regulatory changes, are forward-looking statements.</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“aims,” “expects,” “plans,” “anticipates,” “could,” “intends,” “targets,” “projects,” “contemplates,” “believes,” “estimates,” “positions”, “predicts,” “potential,” “likely,” “future” or “continue” or the negative of these terms or other similar expressions. The forward-looking statements in this press release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press release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2024 (“2024 Annual Report on Form 10-K”) and our forthcoming Annual Report on Form 10-K for the fiscal year ended December 31, 2025 (“2025 Annual Report on Form 10-K”), as well as our other filings with the Securities and Exchange Commission. The factors described in our 2024 Annual Report on Form 10-K and our forthcoming 2025 Annual Report on Form 10-K should not be construed as exhaustive and should be read together with the other cautionary statements included in this press release, as well as the cautionary statements and other risk factors set forth in our Quarterly Report on Form 10-Q for the first quarter ended March 31, 2025, our Quarterly Report on Form 10-Q for the second quarter ended June 30, 2025, and our Quarterly Report on Form 10-Q for the third quarter ended September 30, 2025 and in our other filings with the Securities and Exchange Commission.</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You should read this press release and the documents that we reference in this press release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264" w:before="0" w:after="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 xml:space="preserve">Throughout this press release, we use a number of non-GAAP financial measures. Non-GAAP financial measures are supplemental measures of our performance that are derived from our consolidated financial information, but which are not presented in our Consolidated Financial Statements prepared in accordance with U.S. generally accepted accounting principles (“GAAP”). We define these non-GAAP financial measures as follows: </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represents, as applicable for the period, EBITDA as further adjusted for certain items summarized in the table furnished below in this press release.</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bidi w:val="0"/>
        <w:spacing w:lineRule="auto" w:line="264" w:before="120" w:after="283"/>
        <w:jc w:val="left"/>
        <w:rPr>
          <w:rFonts w:ascii="Arial;sans-serif" w:hAnsi="Arial;sans-serif"/>
          <w:b w:val="false"/>
          <w:color w:val="000000"/>
          <w:sz w:val="18"/>
        </w:rPr>
      </w:pPr>
      <w:r>
        <w:rPr>
          <w:rFonts w:ascii="Arial;sans-serif" w:hAnsi="Arial;sans-serif"/>
          <w:b w:val="false"/>
          <w:color w:val="000000"/>
          <w:sz w:val="18"/>
        </w:rPr>
        <w:t xml:space="preserve">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financial performance measure used by management to evaluate the business and monitor the results of operations, as well as a basis for certain compensation programs sponsored by the Company. There are limitations to the use of the non-GAAP financial measures presented in this press release. For example, our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64" w:before="120" w:after="283"/>
        <w:jc w:val="left"/>
        <w:rPr>
          <w:rFonts w:ascii="Arial;sans-serif" w:hAnsi="Arial;sans-serif"/>
          <w:b w:val="false"/>
          <w:color w:val="000000"/>
          <w:sz w:val="18"/>
        </w:rPr>
      </w:pPr>
      <w:r>
        <w:rPr>
          <w:rFonts w:ascii="Arial;sans-serif" w:hAnsi="Arial;sans-serif"/>
          <w:b w:val="false"/>
          <w:color w:val="000000"/>
          <w:sz w:val="18"/>
        </w:rPr>
        <w:t>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furnished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pStyle w:val="TextBody"/>
        <w:bidi w:val="0"/>
        <w:spacing w:before="0" w:after="0"/>
        <w:jc w:val="left"/>
        <w:rPr/>
      </w:pPr>
      <w:r>
        <w:rPr/>
      </w:r>
    </w:p>
    <w:p>
      <w:pPr>
        <w:pStyle w:val="TextBody"/>
        <w:bidi w:val="0"/>
        <w:spacing w:lineRule="auto" w:line="264" w:before="0" w:after="0"/>
        <w:jc w:val="left"/>
        <w:rPr>
          <w:rFonts w:ascii="Arial;sans-serif" w:hAnsi="Arial;sans-serif"/>
          <w:b/>
          <w:color w:val="000000"/>
          <w:sz w:val="18"/>
        </w:rPr>
      </w:pPr>
      <w:r>
        <w:rPr>
          <w:rFonts w:ascii="Arial;sans-serif" w:hAnsi="Arial;sans-serif"/>
          <w:b/>
          <w:color w:val="000000"/>
          <w:sz w:val="18"/>
        </w:rPr>
        <w:t>Key Business Performance and Operating Metrics</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The most relevant business and operating metrics are as follows:</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 xml:space="preserve">Direct Operating Cost of Submission” </w:t>
      </w:r>
      <w:r>
        <w:rPr>
          <w:rFonts w:ascii="Arial;sans-serif" w:hAnsi="Arial;sans-serif"/>
          <w:b w:val="false"/>
          <w:color w:val="000000"/>
          <w:sz w:val="18"/>
        </w:rPr>
        <w:t>is an operating metric that represents costs directly attributable to Submissions generated during a reporting 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reporting period.</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Direct Operating Cost per Submission”</w:t>
      </w:r>
      <w:r>
        <w:rPr>
          <w:color w:val="000000"/>
        </w:rPr>
        <w:t xml:space="preserve"> </w:t>
      </w:r>
      <w:r>
        <w:rPr>
          <w:rFonts w:ascii="Arial;sans-serif" w:hAnsi="Arial;sans-serif"/>
          <w:b w:val="false"/>
          <w:color w:val="000000"/>
          <w:sz w:val="18"/>
        </w:rPr>
        <w:t>is an operating metric that represents the average performance of Submissions generated during a reporting period. Direct Operating Cost per Submission refers to (x) Direct Operating Cost of Submission for a reporting period divided by (y) the number of Submissions generated for such period.</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Sales/Direct Operating Cost of Submission”</w:t>
      </w:r>
      <w:r>
        <w:rPr>
          <w:color w:val="000000"/>
        </w:rPr>
        <w:t xml:space="preserve"> </w:t>
      </w:r>
      <w:r>
        <w:rPr>
          <w:rFonts w:ascii="Arial;sans-serif" w:hAnsi="Arial;sans-serif"/>
          <w:b w:val="false"/>
          <w:color w:val="000000"/>
          <w:sz w:val="18"/>
        </w:rPr>
        <w:t xml:space="preserve">represents (x) the numerator of Sales per Submission, as defined below, divided by (y) Direct Operating Cost of Submission. </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 xml:space="preserve">Sales per Submission” </w:t>
      </w:r>
      <w:r>
        <w:rPr>
          <w:rFonts w:ascii="Arial;sans-serif" w:hAnsi="Arial;sans-serif"/>
          <w:b w:val="false"/>
          <w:color w:val="000000"/>
          <w:sz w:val="18"/>
        </w:rPr>
        <w:t>is an operating metric that represents the average performance of Submissions generated during a reporting period. Sales 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Medicare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(ii) Medicare non-agency revenues, comprised of the enrollment and engagement services for which cash is collected in advance or in close proximity to the point in time revenue is recognized, and (iii) revenues from GoHealth Protect, divided by (y) the number of Submissions generated for such period.</w:t>
      </w:r>
    </w:p>
    <w:p>
      <w:pPr>
        <w:pStyle w:val="TextBody"/>
        <w:bidi w:val="0"/>
        <w:spacing w:before="0" w:after="0"/>
        <w:jc w:val="left"/>
        <w:rPr/>
      </w:pPr>
      <w:r>
        <w:rPr/>
      </w:r>
    </w:p>
    <w:p>
      <w:pPr>
        <w:pStyle w:val="TextBody"/>
        <w:bidi w:val="0"/>
        <w:spacing w:lineRule="auto" w:line="264" w:before="0" w:after="0"/>
        <w:ind w:left="0" w:right="0" w:hanging="360"/>
        <w:jc w:val="left"/>
        <w:rPr/>
      </w:pPr>
      <w:r>
        <w:rPr>
          <w:color w:val="000000"/>
        </w:rPr>
        <w:t>•“</w:t>
      </w:r>
      <w:r>
        <w:rPr>
          <w:rFonts w:ascii="Arial;sans-serif" w:hAnsi="Arial;sans-serif"/>
          <w:b w:val="false"/>
          <w:i/>
          <w:color w:val="000000"/>
          <w:sz w:val="18"/>
        </w:rPr>
        <w:t xml:space="preserve">Submission” </w:t>
      </w:r>
      <w:r>
        <w:rPr>
          <w:rFonts w:ascii="Arial;sans-serif" w:hAnsi="Arial;sans-serif"/>
          <w:b w:val="false"/>
          <w:color w:val="000000"/>
          <w:sz w:val="18"/>
        </w:rPr>
        <w:t>refers to either (i) a completed Medicare application with our licensed agent that is submitted to the health plan partner and subsequently approved by the health plan partner during the indicated period, (ii) a transfer by our agent to the health plan partner through the Encompass operating model during the indicated period, or (iii) a completed GoHealth Protect application with our licensed agent that is submitted, approved by the health plan partner, and for which the payment information was received by the health plan partner during the indicated period.</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18"/>
        </w:rPr>
      </w:pPr>
      <w:r>
        <w:rPr>
          <w:rFonts w:ascii="Arial;sans-serif" w:hAnsi="Arial;sans-serif"/>
          <w:b w:val="false"/>
          <w:color w:val="000000"/>
          <w:sz w:val="18"/>
        </w:rPr>
        <w:t xml:space="preserve">Sales per Submission and Direct Operating Cost per Submission are key operating metrics used by management to understand the Company’s underlying financial performance and trends. </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sets forth the components of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972"/>
        <w:gridCol w:w="624"/>
        <w:gridCol w:w="626"/>
        <w:gridCol w:w="109"/>
        <w:gridCol w:w="109"/>
        <w:gridCol w:w="109"/>
        <w:gridCol w:w="181"/>
        <w:gridCol w:w="656"/>
        <w:gridCol w:w="226"/>
        <w:gridCol w:w="109"/>
        <w:gridCol w:w="109"/>
        <w:gridCol w:w="109"/>
        <w:gridCol w:w="319"/>
        <w:gridCol w:w="211"/>
        <w:gridCol w:w="438"/>
        <w:gridCol w:w="109"/>
        <w:gridCol w:w="109"/>
        <w:gridCol w:w="109"/>
        <w:gridCol w:w="181"/>
        <w:gridCol w:w="646"/>
        <w:gridCol w:w="226"/>
        <w:gridCol w:w="109"/>
        <w:gridCol w:w="109"/>
        <w:gridCol w:w="109"/>
        <w:gridCol w:w="319"/>
        <w:gridCol w:w="211"/>
        <w:gridCol w:w="438"/>
        <w:gridCol w:w="109"/>
        <w:gridCol w:w="109"/>
        <w:gridCol w:w="109"/>
        <w:gridCol w:w="181"/>
        <w:gridCol w:w="656"/>
        <w:gridCol w:w="109"/>
        <w:gridCol w:w="109"/>
        <w:gridCol w:w="109"/>
        <w:gridCol w:w="109"/>
        <w:gridCol w:w="291"/>
        <w:gridCol w:w="295"/>
        <w:gridCol w:w="437"/>
      </w:tblGrid>
      <w:tr>
        <w:trPr/>
        <w:tc>
          <w:tcPr>
            <w:tcW w:w="97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thousands, except percentages and per share amounts)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Dollars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Dollars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222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revenues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361,845 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798,894 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100.0 </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(437,049)</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w:t>
            </w:r>
          </w:p>
        </w:tc>
        <w:tc>
          <w:tcPr>
            <w:tcW w:w="43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Operating expenses: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Revenue share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96,126 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130,612 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Marketing and advertising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116,379 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235,696 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Consumer care and enrollment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106,045 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222,414 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(52.3)</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Technology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34,904 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41,046 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General and administrative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90,789 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82,116 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10.6 </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Indefinite and long-lived asset impairment charges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259,961 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71.8 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NM</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operating expenses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774,746 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214.1 </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805,941 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100.9 </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(31,195)</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w:t>
            </w:r>
          </w:p>
        </w:tc>
        <w:tc>
          <w:tcPr>
            <w:tcW w:w="43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(loss) from operations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(412,901)</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(114.1)</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(7,047)</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(405,854)</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5759.2 </w:t>
            </w:r>
          </w:p>
        </w:tc>
        <w:tc>
          <w:tcPr>
            <w:tcW w:w="43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87,320 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72,868 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19.8 </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on bargain purchase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(84,492)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NM</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on extinguishment of debt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(84.2)</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4"/>
              </w:rPr>
            </w:pPr>
            <w:r>
              <w:rPr>
                <w:rFonts w:ascii="Arial;sans-serif" w:hAnsi="Arial;sans-serif"/>
                <w:b w:val="false"/>
                <w:i/>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(income) expense, net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(loss) before income taxes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(501,090)</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(138.5)</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(5,052)</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(496,038)</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9818.6 </w:t>
            </w:r>
          </w:p>
        </w:tc>
        <w:tc>
          <w:tcPr>
            <w:tcW w:w="43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(3,335)</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2,267 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(5,602)</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(247.1)</w:t>
            </w:r>
          </w:p>
        </w:tc>
        <w:tc>
          <w:tcPr>
            <w:tcW w:w="43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(497,755)</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(7,319)</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(490,436)</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6700.9 </w:t>
            </w:r>
          </w:p>
        </w:tc>
        <w:tc>
          <w:tcPr>
            <w:tcW w:w="43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 attributable to noncontrolling interests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(240,629)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(236,238)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5380.1 </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(loss) attributable to GoHealth, Inc.</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(257,126)</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(71.1)</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(2,928)</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(0.4)</w:t>
            </w:r>
          </w:p>
        </w:tc>
        <w:tc>
          <w:tcPr>
            <w:tcW w:w="43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(254,198)</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8681.6</w:t>
            </w:r>
            <w:r>
              <w:rPr>
                <w:color w:val="000000"/>
              </w:rPr>
              <w:t> </w:t>
            </w:r>
          </w:p>
        </w:tc>
        <w:tc>
          <w:tcPr>
            <w:tcW w:w="43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Net income (loss) per share: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Net income (loss) per share of Class A common stock — basic and diluted</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(20.17)</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(0.66)</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Weighted-average shares of Class A common stock outstanding — basic and diluted</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12,940 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9,980 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Non-GAAP financial measures: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EBITDA</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(333,664)</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173,706 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EBITDA</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(35,109)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120,319 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Net income (loss) margin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EBITDA margin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2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4"/>
        </w:rPr>
      </w:pPr>
      <w:r>
        <w:rPr>
          <w:rFonts w:ascii="Arial;sans-serif" w:hAnsi="Arial;sans-serif"/>
          <w:b w:val="false"/>
          <w:i/>
          <w:color w:val="000000"/>
          <w:sz w:val="14"/>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sets forth the reconciliations of GAAP net income (loss) to EBITDA and Adjusted EBITDA for the periods indicated:</w:t>
      </w:r>
    </w:p>
    <w:tbl>
      <w:tblPr>
        <w:tblW w:w="10069" w:type="dxa"/>
        <w:jc w:val="left"/>
        <w:tblInd w:w="0" w:type="dxa"/>
        <w:tblLayout w:type="fixed"/>
        <w:tblCellMar>
          <w:top w:w="28" w:type="dxa"/>
          <w:left w:w="28" w:type="dxa"/>
          <w:bottom w:w="28" w:type="dxa"/>
          <w:right w:w="28" w:type="dxa"/>
        </w:tblCellMar>
      </w:tblPr>
      <w:tblGrid>
        <w:gridCol w:w="2183"/>
        <w:gridCol w:w="1920"/>
        <w:gridCol w:w="1927"/>
        <w:gridCol w:w="109"/>
        <w:gridCol w:w="109"/>
        <w:gridCol w:w="109"/>
        <w:gridCol w:w="109"/>
        <w:gridCol w:w="109"/>
        <w:gridCol w:w="174"/>
        <w:gridCol w:w="174"/>
        <w:gridCol w:w="289"/>
        <w:gridCol w:w="1056"/>
        <w:gridCol w:w="361"/>
        <w:gridCol w:w="109"/>
        <w:gridCol w:w="109"/>
        <w:gridCol w:w="109"/>
        <w:gridCol w:w="181"/>
        <w:gridCol w:w="661"/>
        <w:gridCol w:w="271"/>
      </w:tblGrid>
      <w:tr>
        <w:trPr/>
        <w:tc>
          <w:tcPr>
            <w:tcW w:w="2183"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Twelve months ended Dec. 31,</w:t>
            </w:r>
          </w:p>
        </w:tc>
        <w:tc>
          <w:tcPr>
            <w:tcW w:w="1440" w:type="dxa"/>
            <w:gridSpan w:val="6"/>
            <w:tcBorders/>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603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revenues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0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361,845</w:t>
            </w:r>
            <w:r>
              <w:rPr>
                <w:color w:val="000000"/>
              </w:rPr>
              <w:t> </w:t>
            </w:r>
          </w:p>
        </w:tc>
        <w:tc>
          <w:tcPr>
            <w:tcW w:w="36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798,894</w:t>
            </w:r>
            <w:r>
              <w:rPr>
                <w:color w:val="000000"/>
              </w:rPr>
              <w:t> </w:t>
            </w:r>
          </w:p>
        </w:tc>
        <w:tc>
          <w:tcPr>
            <w:tcW w:w="2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(497,755)</w:t>
            </w:r>
          </w:p>
        </w:tc>
        <w:tc>
          <w:tcPr>
            <w:tcW w:w="36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(7,319)</w:t>
            </w:r>
          </w:p>
        </w:tc>
        <w:tc>
          <w:tcPr>
            <w:tcW w:w="2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87,320 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(3,335)</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 expense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80,106 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105,890 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EBITDA</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(333,664)</w:t>
            </w:r>
          </w:p>
        </w:tc>
        <w:tc>
          <w:tcPr>
            <w:tcW w:w="36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173,706 </w:t>
            </w:r>
          </w:p>
        </w:tc>
        <w:tc>
          <w:tcPr>
            <w:tcW w:w="2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Gain on bargain purchase</w:t>
            </w:r>
            <w:r>
              <w:rPr>
                <w:rFonts w:ascii="Arial;sans-serif" w:hAnsi="Arial;sans-serif"/>
                <w:b w:val="false"/>
                <w:color w:val="000000"/>
                <w:sz w:val="9"/>
              </w:rPr>
              <w:t>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(84,492)</w:t>
            </w:r>
          </w:p>
        </w:tc>
        <w:tc>
          <w:tcPr>
            <w:tcW w:w="2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Loss on extinguishment of debt</w:t>
            </w:r>
            <w:r>
              <w:rPr>
                <w:rFonts w:ascii="Arial;sans-serif" w:hAnsi="Arial;sans-serif"/>
                <w:b w:val="false"/>
                <w:color w:val="000000"/>
                <w:sz w:val="9"/>
              </w:rPr>
              <w:t>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Share-based compensation expense</w:t>
            </w:r>
            <w:r>
              <w:rPr>
                <w:rFonts w:ascii="Arial;sans-serif" w:hAnsi="Arial;sans-serif"/>
                <w:b w:val="false"/>
                <w:color w:val="000000"/>
                <w:sz w:val="9"/>
              </w:rPr>
              <w:t>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11,281 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Professional services</w:t>
            </w:r>
            <w:r>
              <w:rPr>
                <w:rFonts w:ascii="Arial;sans-serif" w:hAnsi="Arial;sans-serif"/>
                <w:b w:val="false"/>
                <w:color w:val="000000"/>
                <w:sz w:val="9"/>
              </w:rPr>
              <w:t>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11,463 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Legal fees</w:t>
            </w:r>
            <w:r>
              <w:rPr>
                <w:rFonts w:ascii="Arial;sans-serif" w:hAnsi="Arial;sans-serif"/>
                <w:b w:val="false"/>
                <w:color w:val="000000"/>
                <w:sz w:val="9"/>
              </w:rPr>
              <w:t>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5,042 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2,917 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Other (income) loss related to the adjustment of liabilities under the Tax Receivable Agreement</w:t>
            </w:r>
            <w:r>
              <w:rPr>
                <w:rFonts w:ascii="Arial;sans-serif" w:hAnsi="Arial;sans-serif"/>
                <w:b w:val="false"/>
                <w:color w:val="000000"/>
                <w:sz w:val="9"/>
              </w:rPr>
              <w:t>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Severance costs</w:t>
            </w:r>
            <w:r>
              <w:rPr>
                <w:rFonts w:ascii="Arial;sans-serif" w:hAnsi="Arial;sans-serif"/>
                <w:b w:val="false"/>
                <w:color w:val="000000"/>
                <w:sz w:val="9"/>
              </w:rPr>
              <w:t>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11,550 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Indefinite and long-lived asset impairment charges</w:t>
            </w:r>
            <w:r>
              <w:rPr>
                <w:rFonts w:ascii="Arial;sans-serif" w:hAnsi="Arial;sans-serif"/>
                <w:b w:val="false"/>
                <w:color w:val="000000"/>
                <w:sz w:val="9"/>
              </w:rPr>
              <w:t>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259,675 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EBITDA</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(35,109)</w:t>
            </w:r>
          </w:p>
        </w:tc>
        <w:tc>
          <w:tcPr>
            <w:tcW w:w="36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120,319 </w:t>
            </w:r>
          </w:p>
        </w:tc>
        <w:tc>
          <w:tcPr>
            <w:tcW w:w="27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Net income (loss) margin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(137.6)</w:t>
            </w:r>
          </w:p>
        </w:tc>
        <w:tc>
          <w:tcPr>
            <w:tcW w:w="361"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271"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EBITDA margin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w:t>
            </w:r>
          </w:p>
        </w:tc>
        <w:tc>
          <w:tcPr>
            <w:tcW w:w="3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(1)Represents the excess of the acquisition-date fair value of the net assets acquired over the acquisition-date fair value of the consideration transferred related to the acquisition of e-TeleQuote.</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the loss on debt extinguishment related to the write-down of deferred debt discount and debt issuance costs in conjunction with the refinancing of the Term Loan Facilities.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(3)Represents non-cash share-based compensation expense relating to equity awards as well as share-based compensation expense relating to liability classified awards that will be settled in cash.</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(4)Represents costs associated with non-routine consulting fees and other professional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(5)Represents legal fees, settlement accruals and other expenses related to certain acquisitions, litigation, Credit Agreement amendments and other non-routine legal or regulatory matters.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(6)Represents expense related to the measurement of our Tax Receivable Agreement obligation.</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(7)Represents severance costs and other fees associated with a reduction in workforce unrelated to restructuring activities.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(8)Represents indefinite-lived intangible asset, definite-lived intangible asset, capitalized software and other long-lived asset impairment charge for the twelve months ended December 31, 2025. Impairment charge for 2025 includes remeasurement of the lease liability and adjustment of the ROU asset (which was previously impaired) related to the early termination of leases during the first half of the fiscal year.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68" w:before="120" w:after="283"/>
        <w:jc w:val="left"/>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w:t>
      </w:r>
    </w:p>
    <w:p>
      <w:pPr>
        <w:pStyle w:val="TextBody"/>
        <w:bidi w:val="0"/>
        <w:spacing w:before="0" w:after="0"/>
        <w:jc w:val="left"/>
        <w:rPr/>
      </w:pPr>
      <w:r>
        <w:rPr/>
      </w:r>
    </w:p>
    <w:tbl>
      <w:tblPr>
        <w:tblW w:w="7557" w:type="dxa"/>
        <w:jc w:val="left"/>
        <w:tblInd w:w="0" w:type="dxa"/>
        <w:tblLayout w:type="fixed"/>
        <w:tblCellMar>
          <w:top w:w="28" w:type="dxa"/>
          <w:left w:w="28" w:type="dxa"/>
          <w:bottom w:w="28" w:type="dxa"/>
          <w:right w:w="28" w:type="dxa"/>
        </w:tblCellMar>
      </w:tblPr>
      <w:tblGrid>
        <w:gridCol w:w="1054"/>
        <w:gridCol w:w="925"/>
        <w:gridCol w:w="930"/>
        <w:gridCol w:w="109"/>
        <w:gridCol w:w="109"/>
        <w:gridCol w:w="109"/>
        <w:gridCol w:w="109"/>
        <w:gridCol w:w="109"/>
        <w:gridCol w:w="215"/>
        <w:gridCol w:w="215"/>
        <w:gridCol w:w="387"/>
        <w:gridCol w:w="1486"/>
        <w:gridCol w:w="215"/>
        <w:gridCol w:w="109"/>
        <w:gridCol w:w="109"/>
        <w:gridCol w:w="109"/>
        <w:gridCol w:w="196"/>
        <w:gridCol w:w="751"/>
        <w:gridCol w:w="311"/>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585" w:type="dxa"/>
            <w:gridSpan w:val="6"/>
            <w:tcBorders/>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Agency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272,973 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506,516 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and Other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32,217 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75,160 </w:t>
            </w:r>
          </w:p>
        </w:tc>
        <w:tc>
          <w:tcPr>
            <w:tcW w:w="31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Agency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305,190 </w:t>
            </w:r>
          </w:p>
        </w:tc>
        <w:tc>
          <w:tcPr>
            <w:tcW w:w="21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581,676 </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Non-Agency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37,003 </w:t>
            </w:r>
          </w:p>
        </w:tc>
        <w:tc>
          <w:tcPr>
            <w:tcW w:w="21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212,289 </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342,193</w:t>
            </w:r>
            <w:r>
              <w:rPr>
                <w:color w:val="000000"/>
              </w:rPr>
              <w:t> </w:t>
            </w:r>
          </w:p>
        </w:tc>
        <w:tc>
          <w:tcPr>
            <w:tcW w:w="21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793,965</w:t>
            </w:r>
            <w:r>
              <w:rPr>
                <w:color w:val="000000"/>
              </w:rPr>
              <w:t> </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Non-Agency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18,515 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Agency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19,652 </w:t>
            </w:r>
          </w:p>
        </w:tc>
        <w:tc>
          <w:tcPr>
            <w:tcW w:w="21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4,929 </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Total Net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8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361,845</w:t>
            </w:r>
            <w:r>
              <w:rPr>
                <w:color w:val="000000"/>
              </w:rPr>
              <w:t> </w:t>
            </w:r>
          </w:p>
        </w:tc>
        <w:tc>
          <w:tcPr>
            <w:tcW w:w="215"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798,894</w:t>
            </w:r>
            <w:r>
              <w:rPr>
                <w:color w:val="000000"/>
              </w:rPr>
              <w:t> </w:t>
            </w:r>
          </w:p>
        </w:tc>
        <w:tc>
          <w:tcPr>
            <w:tcW w:w="31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i/>
          <w:color w:val="000000"/>
          <w:sz w:val="14"/>
        </w:rPr>
      </w:pPr>
      <w:r>
        <w:rPr>
          <w:rFonts w:ascii="Arial;sans-serif" w:hAnsi="Arial;sans-serif"/>
          <w:b w:val="false"/>
          <w:i/>
          <w:color w:val="000000"/>
          <w:sz w:val="14"/>
        </w:rPr>
        <w:t>(1)Commission revenue excludes commissions generated through Non-Encompass BPO Services as well as from the sale of individual and family plan insurance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sets forth our balance sheets for the periods indicated:</w:t>
      </w:r>
    </w:p>
    <w:tbl>
      <w:tblPr>
        <w:tblW w:w="10205" w:type="dxa"/>
        <w:jc w:val="left"/>
        <w:tblInd w:w="0" w:type="dxa"/>
        <w:tblLayout w:type="fixed"/>
        <w:tblCellMar>
          <w:top w:w="28" w:type="dxa"/>
          <w:left w:w="28" w:type="dxa"/>
          <w:bottom w:w="28" w:type="dxa"/>
          <w:right w:w="28" w:type="dxa"/>
        </w:tblCellMar>
      </w:tblPr>
      <w:tblGrid>
        <w:gridCol w:w="2810"/>
        <w:gridCol w:w="2332"/>
        <w:gridCol w:w="2340"/>
        <w:gridCol w:w="109"/>
        <w:gridCol w:w="109"/>
        <w:gridCol w:w="109"/>
        <w:gridCol w:w="181"/>
        <w:gridCol w:w="661"/>
        <w:gridCol w:w="109"/>
        <w:gridCol w:w="109"/>
        <w:gridCol w:w="109"/>
        <w:gridCol w:w="109"/>
        <w:gridCol w:w="181"/>
        <w:gridCol w:w="781"/>
        <w:gridCol w:w="156"/>
      </w:tblGrid>
      <w:tr>
        <w:trPr/>
        <w:tc>
          <w:tcPr>
            <w:tcW w:w="2810"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 31,</w:t>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 net of allowance for doubtful accounts of $5 in 2025 and $1 in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320,399 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285,788 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400,411 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685,527 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733,161 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ROU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equipment, and capitalized software,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302,497 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987,380</w:t>
            </w: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1,488,423</w:t>
            </w:r>
            <w:r>
              <w:rPr>
                <w:color w:val="000000"/>
              </w:rPr>
              <w:t>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 Redeemable Convertible Preferred Stock and 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121,346 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98,771 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operating lease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53,720 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141,500 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338,052 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156,532 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177,656 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operating lease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636,740 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447,865 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851,199 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691,971 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Series A redeemable convertible preferred stock — $0.0001 par value; 50 shares authorized; 50 shares issued and outstanding as of both December 31, 2025 and December 31, 2024. Liquidation preference of $58.5 million and $54.6 million as of December 31, 2025 and December 31, 2024,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Class A common stock – $0.0001 par value; 1,100,000 shares authorized; 16,984 and 10,614 shares issued; 16,191 and 10,292 shares outstanding as of December 31, 2025 and December 31, 2024,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Class B common stock – $0.0001 par value; 615,825 and 615,917 shares authorized as of December 31, 2025 and 2024, respectively; 12,621 and 12,711 shares issued and outstanding as of December 31, 2025 and December 31, 2024,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$0.0001 par value; 20,000 shares authorized (including 50 shares of Series A redeemable convertible preferred stock authorized and 200 shares of Series A-1 convertible preferred stock authorized); 50 shares issued and outstanding as of both December 31, 2025 and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Series A-1 convertible preferred stock— $0.0001 par value; 200 shares authorized; no shares issued and outstanding as of both December 31, 2025 and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 at cost; 793 and 322 shares of Class A common stock as of December 31, 2025 and December 31, 2024,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669,346 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(680,334)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(423,208)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attributable to GoHealth,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37,873 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241,839 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(100,078)</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163,599 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(62,205)</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405,438 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redeemable convertible preferred stock and stockholders’ equity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987,380</w:t>
            </w:r>
            <w:r>
              <w:rPr>
                <w:color w:val="000000"/>
              </w:rPr>
              <w:t> </w:t>
            </w:r>
          </w:p>
        </w:tc>
        <w:tc>
          <w:tcPr>
            <w:tcW w:w="109"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1,488,423</w:t>
            </w:r>
            <w:r>
              <w:rPr>
                <w:color w:val="000000"/>
              </w:rPr>
              <w:t> </w:t>
            </w:r>
          </w:p>
        </w:tc>
        <w:tc>
          <w:tcPr>
            <w:tcW w:w="15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sets forth the net cash provided by (used in) operating activities for the periods presented:</w:t>
      </w:r>
    </w:p>
    <w:tbl>
      <w:tblPr>
        <w:tblW w:w="9223" w:type="dxa"/>
        <w:jc w:val="left"/>
        <w:tblInd w:w="0" w:type="dxa"/>
        <w:tblLayout w:type="fixed"/>
        <w:tblCellMar>
          <w:top w:w="28" w:type="dxa"/>
          <w:left w:w="28" w:type="dxa"/>
          <w:bottom w:w="28" w:type="dxa"/>
          <w:right w:w="28" w:type="dxa"/>
        </w:tblCellMar>
      </w:tblPr>
      <w:tblGrid>
        <w:gridCol w:w="2213"/>
        <w:gridCol w:w="1949"/>
        <w:gridCol w:w="1957"/>
        <w:gridCol w:w="109"/>
        <w:gridCol w:w="109"/>
        <w:gridCol w:w="109"/>
        <w:gridCol w:w="208"/>
        <w:gridCol w:w="797"/>
        <w:gridCol w:w="125"/>
        <w:gridCol w:w="125"/>
        <w:gridCol w:w="125"/>
        <w:gridCol w:w="125"/>
        <w:gridCol w:w="208"/>
        <w:gridCol w:w="676"/>
        <w:gridCol w:w="125"/>
        <w:gridCol w:w="109"/>
        <w:gridCol w:w="154"/>
      </w:tblGrid>
      <w:tr>
        <w:trPr/>
        <w:tc>
          <w:tcPr>
            <w:tcW w:w="221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thousands)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Activities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(497,755)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Adjustments to reconcile net income (loss) to net cash provided by (used in) operating activities: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11,281 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9,564 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70,542 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debt discount and issuance costs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7,578 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8,950 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 on bargain purchase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(84,492)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on extinguishment of debt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tax liability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4,480 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 net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4"/>
              </w:rPr>
              <w:t>Accrued interest payable in kind</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39,327 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Indefinite and long-lived asset impairment charges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259,961 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Changes in assets and liabilities: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128,447 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(51,364)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22,554 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14,952 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(86,649)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27,644 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(28,228)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(55,949)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(45,560)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5,150 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(121,947)</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(21,607)</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Investing Activities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 of business, net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(13,729)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provided by investing activities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Financing Activities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137,999 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558,251 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(556,047)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debt discount and issuance costs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(8,408)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(33,126)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 to satisfy employee tax withholding obligations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(5,221)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stock option exercises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preferred stock dividends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financing activities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121,996 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(32,033)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and cash equivalents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cash and cash equivalents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(8,017)</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(49,888)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beginning of period</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40,921 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90,809 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32,904</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40,921</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45,813 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Non-cash investing and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 included in 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120" w:after="283"/>
        <w:jc w:val="left"/>
        <w:rPr/>
      </w:pPr>
      <w:r>
        <w:rPr/>
      </w:r>
    </w:p>
    <w:p>
      <w:pPr>
        <w:pStyle w:val="TextBody"/>
        <w:bidi w:val="0"/>
        <w:spacing w:lineRule="auto" w:line="268" w:before="120" w:after="283"/>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Below are the most relevant business and operating metrics for our single operating and reportable segment.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w:t>
      </w:r>
    </w:p>
    <w:tbl>
      <w:tblPr>
        <w:tblW w:w="7625"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511"/>
        <w:gridCol w:w="263"/>
        <w:gridCol w:w="263"/>
        <w:gridCol w:w="263"/>
        <w:gridCol w:w="263"/>
        <w:gridCol w:w="263"/>
        <w:gridCol w:w="605"/>
        <w:gridCol w:w="266"/>
        <w:gridCol w:w="263"/>
        <w:gridCol w:w="109"/>
        <w:gridCol w:w="109"/>
        <w:gridCol w:w="109"/>
        <w:gridCol w:w="404"/>
        <w:gridCol w:w="406"/>
        <w:gridCol w:w="226"/>
        <w:gridCol w:w="109"/>
        <w:gridCol w:w="109"/>
        <w:gridCol w:w="109"/>
        <w:gridCol w:w="269"/>
        <w:gridCol w:w="271"/>
        <w:gridCol w:w="471"/>
        <w:gridCol w:w="10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Submissions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534,657 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1,016,182 </w:t>
            </w:r>
          </w:p>
        </w:tc>
        <w:tc>
          <w:tcPr>
            <w:tcW w:w="263"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(481,525)</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periods presented:</w:t>
      </w:r>
    </w:p>
    <w:tbl>
      <w:tblPr>
        <w:tblW w:w="7502"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61"/>
        <w:gridCol w:w="561"/>
        <w:gridCol w:w="145"/>
        <w:gridCol w:w="145"/>
        <w:gridCol w:w="145"/>
        <w:gridCol w:w="145"/>
        <w:gridCol w:w="261"/>
        <w:gridCol w:w="561"/>
        <w:gridCol w:w="145"/>
        <w:gridCol w:w="109"/>
        <w:gridCol w:w="109"/>
        <w:gridCol w:w="109"/>
        <w:gridCol w:w="214"/>
        <w:gridCol w:w="496"/>
        <w:gridCol w:w="120"/>
        <w:gridCol w:w="109"/>
        <w:gridCol w:w="109"/>
        <w:gridCol w:w="109"/>
        <w:gridCol w:w="269"/>
        <w:gridCol w:w="271"/>
        <w:gridCol w:w="471"/>
        <w:gridCol w:w="109"/>
        <w:gridCol w:w="109"/>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497F"/>
                <w:sz w:val="16"/>
              </w:rPr>
            </w:pPr>
            <w:r>
              <w:rPr>
                <w:rFonts w:ascii="Arial;sans-serif" w:hAnsi="Arial;sans-serif"/>
                <w:b/>
                <w:color w:val="00497F"/>
                <w:sz w:val="16"/>
              </w:rPr>
              <w:t>Sales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4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781 </w:t>
            </w:r>
          </w:p>
        </w:tc>
        <w:tc>
          <w:tcPr>
            <w:tcW w:w="14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the Direct Operating Cost per Submission for the periods presented:</w:t>
      </w:r>
    </w:p>
    <w:tbl>
      <w:tblPr>
        <w:tblW w:w="8648" w:type="dxa"/>
        <w:jc w:val="left"/>
        <w:tblInd w:w="0" w:type="dxa"/>
        <w:tblLayout w:type="fixed"/>
        <w:tblCellMar>
          <w:top w:w="28" w:type="dxa"/>
          <w:left w:w="28" w:type="dxa"/>
          <w:bottom w:w="28" w:type="dxa"/>
          <w:right w:w="28" w:type="dxa"/>
        </w:tblCellMar>
      </w:tblPr>
      <w:tblGrid>
        <w:gridCol w:w="1135"/>
        <w:gridCol w:w="997"/>
        <w:gridCol w:w="1003"/>
        <w:gridCol w:w="109"/>
        <w:gridCol w:w="109"/>
        <w:gridCol w:w="109"/>
        <w:gridCol w:w="261"/>
        <w:gridCol w:w="561"/>
        <w:gridCol w:w="145"/>
        <w:gridCol w:w="145"/>
        <w:gridCol w:w="145"/>
        <w:gridCol w:w="145"/>
        <w:gridCol w:w="261"/>
        <w:gridCol w:w="561"/>
        <w:gridCol w:w="145"/>
        <w:gridCol w:w="109"/>
        <w:gridCol w:w="109"/>
        <w:gridCol w:w="109"/>
        <w:gridCol w:w="249"/>
        <w:gridCol w:w="422"/>
        <w:gridCol w:w="140"/>
        <w:gridCol w:w="109"/>
        <w:gridCol w:w="109"/>
        <w:gridCol w:w="109"/>
        <w:gridCol w:w="200"/>
        <w:gridCol w:w="200"/>
        <w:gridCol w:w="471"/>
        <w:gridCol w:w="109"/>
        <w:gridCol w:w="109"/>
        <w:gridCol w:w="109"/>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Direct Operating Cost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594 </w:t>
            </w:r>
          </w:p>
        </w:tc>
        <w:tc>
          <w:tcPr>
            <w:tcW w:w="14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45"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4452</Words>
  <Characters>26116</Characters>
  <CharactersWithSpaces>30076</CharactersWithSpaces>
  <Paragraphs>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