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Cruz Shane E.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92,843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92,843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77,602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77,602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77,602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-1966595</wp:posOffset>
            </wp:positionV>
            <wp:extent cx="7033895" cy="2008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8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restricted stock units ("RSUs") subject to certain vesting conditions, as described in the award agreements applicable to such RSUs. Each RSU represents a contingent right to receive one share of the Issuer's Class A Common Stock and has no expiration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in three equal annual installments beginning on February 11,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Travis J. Matthiesen,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02/16/2021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5988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2021-02-16T16:24:51Z</dcterms:created>
  <dcterms:modified xsi:type="dcterms:W3CDTF">2021-02-16T16:24:51Z</dcterms:modified>
</cp:coreProperties>
</file>