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25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5"/>
          </w:tcPr>
          <w:p>
            <w:pPr>
              <w:jc w:val="center"/>
              <w:ind w:right="17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2" w:lineRule="exact"/>
              <w:rPr>
                <w:sz w:val="20"/>
                <w:szCs w:val="20"/>
                <w:color w:val="auto"/>
              </w:rPr>
            </w:pPr>
            <w:r>
              <w:rPr>
                <w:rFonts w:ascii="Arial" w:cs="Arial" w:eastAsia="Arial" w:hAnsi="Arial"/>
                <w:sz w:val="13"/>
                <w:szCs w:val="13"/>
                <w:color w:val="auto"/>
                <w:w w:val="98"/>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5"/>
            <w:vMerge w:val="restart"/>
          </w:tcPr>
          <w:p>
            <w:pPr>
              <w:jc w:val="center"/>
              <w:ind w:right="191"/>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63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20" w:type="dxa"/>
            <w:vAlign w:val="bottom"/>
            <w:gridSpan w:val="4"/>
            <w:vMerge w:val="restart"/>
          </w:tcPr>
          <w:p>
            <w:pPr>
              <w:jc w:val="center"/>
              <w:ind w:left="8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44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512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9"/>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40" w:type="dxa"/>
            <w:vAlign w:val="bottom"/>
            <w:gridSpan w:val="3"/>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Cruz Brandon M.</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GoHealth,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GOCO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vMerge w:val="restart"/>
          </w:tcPr>
          <w:p>
            <w:pPr>
              <w:ind w:left="260"/>
              <w:spacing w:after="0" w:line="144"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600"/>
              <w:spacing w:after="0" w:line="144"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-1129665</wp:posOffset>
            </wp:positionV>
            <wp:extent cx="7045960" cy="5768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68975"/>
                    </a:xfrm>
                    <a:prstGeom prst="rect">
                      <a:avLst/>
                    </a:prstGeom>
                    <a:noFill/>
                  </pic:spPr>
                </pic:pic>
              </a:graphicData>
            </a:graphic>
          </wp:anchor>
        </w:drawing>
      </w:r>
    </w:p>
    <w:p>
      <w:pPr>
        <w:sectPr>
          <w:pgSz w:w="11900" w:h="16838" w:orient="portrait"/>
          <w:cols w:equalWidth="0" w:num="1">
            <w:col w:w="11080"/>
          </w:cols>
          <w:pgMar w:left="460" w:top="222" w:right="359" w:bottom="1440" w:gutter="0" w:footer="0" w:header="0"/>
        </w:sectPr>
      </w:pP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Arial" w:cs="Arial" w:eastAsia="Arial" w:hAnsi="Arial"/>
                <w:sz w:val="17"/>
                <w:szCs w:val="17"/>
                <w:color w:val="0000FF"/>
              </w:rPr>
              <w:t>214 WEST HURON ST.</w:t>
            </w:r>
          </w:p>
        </w:tc>
        <w:tc>
          <w:tcPr>
            <w:tcW w:w="158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60" w:type="dxa"/>
            <w:vAlign w:val="bottom"/>
          </w:tcPr>
          <w:p>
            <w:pPr>
              <w:ind w:left="220"/>
              <w:spacing w:after="0"/>
              <w:rPr>
                <w:sz w:val="20"/>
                <w:szCs w:val="20"/>
                <w:color w:val="auto"/>
              </w:rPr>
            </w:pPr>
            <w:r>
              <w:rPr>
                <w:rFonts w:ascii="Arial" w:cs="Arial" w:eastAsia="Arial" w:hAnsi="Arial"/>
                <w:sz w:val="17"/>
                <w:szCs w:val="17"/>
                <w:color w:val="0000FF"/>
              </w:rPr>
              <w:t>IL</w:t>
            </w:r>
          </w:p>
        </w:tc>
        <w:tc>
          <w:tcPr>
            <w:tcW w:w="158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4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60" w:type="dxa"/>
            <w:vAlign w:val="bottom"/>
          </w:tcPr>
          <w:p>
            <w:pPr>
              <w:ind w:left="8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4"/>
        </w:trPr>
        <w:tc>
          <w:tcPr>
            <w:tcW w:w="3620" w:type="dxa"/>
            <w:vAlign w:val="bottom"/>
            <w:gridSpan w:val="2"/>
          </w:tcPr>
          <w:p>
            <w:pPr>
              <w:ind w:left="80"/>
              <w:spacing w:after="0"/>
              <w:rPr>
                <w:sz w:val="20"/>
                <w:szCs w:val="20"/>
                <w:color w:val="auto"/>
              </w:rPr>
            </w:pPr>
            <w:r>
              <w:rPr>
                <w:rFonts w:ascii="Arial" w:cs="Arial" w:eastAsia="Arial" w:hAnsi="Arial"/>
                <w:sz w:val="17"/>
                <w:szCs w:val="17"/>
                <w:color w:val="0000FF"/>
              </w:rPr>
              <w:t>06/21/2023</w:t>
            </w:r>
          </w:p>
        </w:tc>
        <w:tc>
          <w:tcPr>
            <w:tcW w:w="2060" w:type="dxa"/>
            <w:vAlign w:val="bottom"/>
          </w:tcPr>
          <w:p>
            <w:pPr>
              <w:ind w:left="8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3"/>
        </w:trPr>
        <w:tc>
          <w:tcPr>
            <w:tcW w:w="200" w:type="dxa"/>
            <w:vAlign w:val="bottom"/>
            <w:tcBorders>
              <w:bottom w:val="single" w:sz="8" w:color="2C2C2C"/>
            </w:tcBorders>
          </w:tcPr>
          <w:p>
            <w:pPr>
              <w:spacing w:after="0"/>
              <w:rPr>
                <w:sz w:val="8"/>
                <w:szCs w:val="8"/>
                <w:color w:val="auto"/>
              </w:rPr>
            </w:pPr>
          </w:p>
        </w:tc>
        <w:tc>
          <w:tcPr>
            <w:tcW w:w="342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2"/>
          </w:tcPr>
          <w:p>
            <w:pPr>
              <w:spacing w:after="0"/>
              <w:rPr>
                <w:sz w:val="8"/>
                <w:szCs w:val="8"/>
                <w:color w:val="auto"/>
              </w:rPr>
            </w:pPr>
          </w:p>
        </w:tc>
      </w:tr>
      <w:tr>
        <w:trPr>
          <w:trHeight w:val="193"/>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4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500" w:type="dxa"/>
            <w:vAlign w:val="bottom"/>
            <w:gridSpan w:val="2"/>
          </w:tcPr>
          <w:p>
            <w:pPr>
              <w:ind w:left="280"/>
              <w:spacing w:after="0"/>
              <w:rPr>
                <w:sz w:val="20"/>
                <w:szCs w:val="20"/>
                <w:color w:val="auto"/>
              </w:rPr>
            </w:pPr>
            <w:r>
              <w:rPr>
                <w:rFonts w:ascii="Arial" w:cs="Arial" w:eastAsia="Arial" w:hAnsi="Arial"/>
                <w:sz w:val="13"/>
                <w:szCs w:val="13"/>
                <w:color w:val="auto"/>
              </w:rPr>
              <w:t>6. 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9"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0"/>
          <w:szCs w:val="20"/>
          <w:color w:val="auto"/>
        </w:rPr>
      </w:pPr>
    </w:p>
    <w:p>
      <w:pPr>
        <w:sectPr>
          <w:pgSz w:w="11900" w:h="16838" w:orient="portrait"/>
          <w:cols w:equalWidth="0" w:num="2">
            <w:col w:w="3760" w:space="80"/>
            <w:col w:w="7240"/>
          </w:cols>
          <w:pgMar w:left="460" w:top="222" w:right="359" w:bottom="1440" w:gutter="0" w:footer="0" w:header="0"/>
          <w:type w:val="continuous"/>
        </w:sectPr>
      </w:pPr>
    </w:p>
    <w:p>
      <w:pPr>
        <w:ind w:left="416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9"/>
              </w:rPr>
              <w:t>Appreciation</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98,622</w:t>
            </w: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19.8</w:t>
            </w:r>
          </w:p>
        </w:tc>
        <w:tc>
          <w:tcPr>
            <w:tcW w:w="1080" w:type="dxa"/>
            <w:vAlign w:val="bottom"/>
            <w:vMerge w:val="restart"/>
          </w:tcPr>
          <w:p>
            <w:pPr>
              <w:jc w:val="right"/>
              <w:ind w:right="200"/>
              <w:spacing w:after="0"/>
              <w:rPr>
                <w:sz w:val="20"/>
                <w:szCs w:val="20"/>
                <w:color w:val="auto"/>
              </w:rPr>
            </w:pPr>
            <w:r>
              <w:rPr>
                <w:rFonts w:ascii="Arial" w:cs="Arial" w:eastAsia="Arial" w:hAnsi="Arial"/>
                <w:sz w:val="13"/>
                <w:szCs w:val="13"/>
                <w:color w:val="0000FF"/>
              </w:rPr>
              <w:t>06/21/2023</w:t>
            </w:r>
          </w:p>
        </w:tc>
        <w:tc>
          <w:tcPr>
            <w:tcW w:w="1080" w:type="dxa"/>
            <w:vAlign w:val="bottom"/>
          </w:tcPr>
          <w:p>
            <w:pPr>
              <w:spacing w:after="0"/>
              <w:rPr>
                <w:sz w:val="5"/>
                <w:szCs w:val="5"/>
                <w:color w:val="auto"/>
              </w:rPr>
            </w:pPr>
          </w:p>
        </w:tc>
        <w:tc>
          <w:tcPr>
            <w:tcW w:w="460" w:type="dxa"/>
            <w:vAlign w:val="bottom"/>
            <w:vMerge w:val="restart"/>
          </w:tcPr>
          <w:p>
            <w:pPr>
              <w:ind w:left="200"/>
              <w:spacing w:after="0"/>
              <w:rPr>
                <w:sz w:val="20"/>
                <w:szCs w:val="20"/>
                <w:color w:val="auto"/>
              </w:rPr>
            </w:pPr>
            <w:r>
              <w:rPr>
                <w:rFonts w:ascii="Arial" w:cs="Arial" w:eastAsia="Arial" w:hAnsi="Arial"/>
                <w:sz w:val="13"/>
                <w:szCs w:val="13"/>
                <w:color w:val="0000FF"/>
              </w:rPr>
              <w:t>A</w:t>
            </w:r>
          </w:p>
        </w:tc>
        <w:tc>
          <w:tcPr>
            <w:tcW w:w="32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rPr>
              <w:t>98,622</w:t>
            </w: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98,622</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60"/>
              <w:spacing w:after="0" w:line="88" w:lineRule="exact"/>
              <w:rPr>
                <w:sz w:val="20"/>
                <w:szCs w:val="20"/>
                <w:color w:val="auto"/>
              </w:rPr>
            </w:pPr>
            <w:r>
              <w:rPr>
                <w:rFonts w:ascii="Arial" w:cs="Arial" w:eastAsia="Arial" w:hAnsi="Arial"/>
                <w:sz w:val="10"/>
                <w:szCs w:val="10"/>
                <w:color w:val="0000FF"/>
              </w:rPr>
              <w:t>Rights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3600" w:type="dxa"/>
            <w:vAlign w:val="bottom"/>
            <w:vMerge w:val="restart"/>
          </w:tcPr>
          <w:p>
            <w:pPr>
              <w:spacing w:after="0"/>
              <w:rPr>
                <w:sz w:val="20"/>
                <w:szCs w:val="20"/>
                <w:color w:val="auto"/>
              </w:rPr>
            </w:pPr>
            <w:r>
              <w:rPr>
                <w:rFonts w:ascii="Arial" w:cs="Arial" w:eastAsia="Arial" w:hAnsi="Arial"/>
                <w:sz w:val="13"/>
                <w:szCs w:val="13"/>
                <w:color w:val="0000FF"/>
              </w:rPr>
              <w:t>(SAR)</w:t>
            </w:r>
          </w:p>
        </w:tc>
        <w:tc>
          <w:tcPr>
            <w:tcW w:w="3560" w:type="dxa"/>
            <w:vAlign w:val="bottom"/>
          </w:tcPr>
          <w:p>
            <w:pPr>
              <w:ind w:left="326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600" w:type="dxa"/>
            <w:vAlign w:val="bottom"/>
            <w:vMerge w:val="continue"/>
          </w:tcPr>
          <w:p>
            <w:pPr>
              <w:spacing w:after="0"/>
              <w:rPr>
                <w:sz w:val="3"/>
                <w:szCs w:val="3"/>
                <w:color w:val="auto"/>
              </w:rPr>
            </w:pPr>
          </w:p>
        </w:tc>
        <w:tc>
          <w:tcPr>
            <w:tcW w:w="3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Stock Appreciation Rights (SARs) were granted pursuant to the 2020 Incentive Award Plan. Each SAR Award will vest in full on June 21, 2026. When exercised, the SARs will be settled in cash.</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Brian Farley,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06/23/2023</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2"/>
        <w:spacing w:after="0" w:line="335"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15855" TargetMode="External"/><Relationship Id="rId9"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2023-06-23T15:08:27Z</dcterms:created>
  <dcterms:modified xsi:type="dcterms:W3CDTF">2023-06-23T15:08:27Z</dcterms:modified>
</cp:coreProperties>
</file>