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November 9, 2021</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November 9, 2021, GoHealth, Inc. issued a press release announcing its financial results for the quarter ended September 30, 2021.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November 9, 2021</w:t>
              </w:r>
            </w:hyperlink>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Third Quarter 2021 Results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6D6D6D"/>
        </w:rPr>
        <w:t>Reaffirms Full-Year Guidance</w:t>
      </w:r>
    </w:p>
    <w:p>
      <w:pPr>
        <w:spacing w:after="0" w:line="200" w:lineRule="exact"/>
        <w:rPr>
          <w:sz w:val="20"/>
          <w:szCs w:val="20"/>
          <w:color w:val="auto"/>
        </w:rPr>
      </w:pPr>
    </w:p>
    <w:p>
      <w:pPr>
        <w:spacing w:after="0" w:line="21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 xml:space="preserve">CHICAGO, November 9, 2021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60960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59" w:lineRule="exact"/>
        <w:rPr>
          <w:sz w:val="20"/>
          <w:szCs w:val="20"/>
          <w:color w:val="auto"/>
        </w:rPr>
      </w:pPr>
    </w:p>
    <w:p>
      <w:pPr>
        <w:ind w:left="560" w:right="720"/>
        <w:spacing w:after="0" w:line="232" w:lineRule="auto"/>
        <w:rPr>
          <w:sz w:val="20"/>
          <w:szCs w:val="20"/>
          <w:color w:val="auto"/>
        </w:rPr>
      </w:pPr>
      <w:r>
        <w:rPr>
          <w:rFonts w:ascii="Arial" w:cs="Arial" w:eastAsia="Arial" w:hAnsi="Arial"/>
          <w:sz w:val="16"/>
          <w:szCs w:val="16"/>
          <w:color w:val="auto"/>
        </w:rPr>
        <w:t>Third quarter 2021 net revenue of $211.7 million increased 30% compared to the prior year period. YTD 2021 net revenue of $612.8 million increased 42%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280"/>
        <w:spacing w:after="0" w:line="232" w:lineRule="auto"/>
        <w:rPr>
          <w:sz w:val="20"/>
          <w:szCs w:val="20"/>
          <w:color w:val="auto"/>
        </w:rPr>
      </w:pPr>
      <w:r>
        <w:rPr>
          <w:rFonts w:ascii="Arial" w:cs="Arial" w:eastAsia="Arial" w:hAnsi="Arial"/>
          <w:sz w:val="16"/>
          <w:szCs w:val="16"/>
          <w:color w:val="auto"/>
        </w:rPr>
        <w:t>Third quarter 2021 Medicare—Internal revenue of $158.6 million increased 19% compared to the prior year period. YTD 2021 Medicare—Internal revenue of $476.4 million increased 51%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191" w:lineRule="exact"/>
        <w:rPr>
          <w:sz w:val="20"/>
          <w:szCs w:val="20"/>
          <w:color w:val="auto"/>
        </w:rPr>
      </w:pPr>
    </w:p>
    <w:p>
      <w:pPr>
        <w:ind w:left="560" w:right="40"/>
        <w:spacing w:after="0" w:line="232" w:lineRule="auto"/>
        <w:rPr>
          <w:sz w:val="20"/>
          <w:szCs w:val="20"/>
          <w:color w:val="auto"/>
        </w:rPr>
      </w:pPr>
      <w:r>
        <w:rPr>
          <w:rFonts w:ascii="Arial" w:cs="Arial" w:eastAsia="Arial" w:hAnsi="Arial"/>
          <w:sz w:val="16"/>
          <w:szCs w:val="16"/>
          <w:color w:val="auto"/>
        </w:rPr>
        <w:t>Third quarter 2021 Medicare Advantage (“MA”) Approved Submissions of 193,107 increased 100% compared to the prior year period. YTD 2021 MA Approved Submissions of 516,983 increased 67%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220"/>
        <w:spacing w:after="0" w:line="232" w:lineRule="auto"/>
        <w:rPr>
          <w:sz w:val="20"/>
          <w:szCs w:val="20"/>
          <w:color w:val="auto"/>
        </w:rPr>
      </w:pPr>
      <w:r>
        <w:rPr>
          <w:rFonts w:ascii="Arial" w:cs="Arial" w:eastAsia="Arial" w:hAnsi="Arial"/>
          <w:sz w:val="16"/>
          <w:szCs w:val="16"/>
          <w:color w:val="auto"/>
        </w:rPr>
        <w:t>Third quarter 2021 MA LTV Per Approved Submission of $926 decreased 6% compared to the prior year period. YTD 2021 MA LTV Per Approved Submission of $957 increased 5% compared to the prior year period.</w:t>
      </w:r>
    </w:p>
    <w:p>
      <w:pPr>
        <w:spacing w:after="0" w:line="141" w:lineRule="exact"/>
        <w:rPr>
          <w:sz w:val="20"/>
          <w:szCs w:val="20"/>
          <w:color w:val="auto"/>
        </w:rPr>
      </w:pPr>
    </w:p>
    <w:p>
      <w:pPr>
        <w:ind w:left="560" w:right="20"/>
        <w:spacing w:after="0" w:line="212" w:lineRule="auto"/>
        <w:rPr>
          <w:sz w:val="20"/>
          <w:szCs w:val="20"/>
          <w:color w:val="auto"/>
        </w:rPr>
      </w:pPr>
      <w:r>
        <w:rPr>
          <w:rFonts w:ascii="Arial" w:cs="Arial" w:eastAsia="Arial" w:hAnsi="Arial"/>
          <w:sz w:val="16"/>
          <w:szCs w:val="16"/>
          <w:color w:val="auto"/>
        </w:rPr>
        <w:t>Third quarter 2021 net loss of $55.4 million compared to a net loss of $206.5 million in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$14.1 million decreased 136% compared to the prior year period due to the 2021 strategic investments in agent capacity, marketplace technology, branding and the Encompass Platform. YTD 2021 net loss was $101.9 million compared to a net loss of $230.3 million in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$32.3 million decreased 68%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-424815</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3175</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ind w:left="560" w:right="480"/>
        <w:spacing w:after="0" w:line="204" w:lineRule="auto"/>
        <w:rPr>
          <w:sz w:val="20"/>
          <w:szCs w:val="20"/>
          <w:color w:val="auto"/>
        </w:rPr>
      </w:pPr>
      <w:r>
        <w:rPr>
          <w:rFonts w:ascii="Arial" w:cs="Arial" w:eastAsia="Arial" w:hAnsi="Arial"/>
          <w:sz w:val="16"/>
          <w:szCs w:val="16"/>
          <w:color w:val="auto"/>
        </w:rPr>
        <w:t>The Company reaffirmed its full-year 2021 outlook, and expects total net revenue of $1,200 - $1,300 million (+37% to +48%) powered by commission net revenue of $1,000 - $1,100 million (+49% to +64%). The Company also reaffirms its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outlook of $300 - $330 million (+11% to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4057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565785"/>
                    </a:xfrm>
                    <a:prstGeom prst="rect">
                      <a:avLst/>
                    </a:prstGeom>
                    <a:noFill/>
                  </pic:spPr>
                </pic:pic>
              </a:graphicData>
            </a:graphic>
          </wp:anchor>
        </w:drawing>
      </w:r>
    </w:p>
    <w:p>
      <w:pPr>
        <w:spacing w:after="0" w:line="245" w:lineRule="exact"/>
        <w:rPr>
          <w:sz w:val="20"/>
          <w:szCs w:val="20"/>
          <w:color w:val="auto"/>
        </w:rPr>
      </w:pPr>
    </w:p>
    <w:p>
      <w:pPr>
        <w:ind w:left="40" w:right="100"/>
        <w:spacing w:after="0" w:line="219" w:lineRule="auto"/>
        <w:rPr>
          <w:sz w:val="20"/>
          <w:szCs w:val="20"/>
          <w:color w:val="auto"/>
        </w:rPr>
      </w:pPr>
      <w:r>
        <w:rPr>
          <w:rFonts w:ascii="Arial" w:cs="Arial" w:eastAsia="Arial" w:hAnsi="Arial"/>
          <w:sz w:val="16"/>
          <w:szCs w:val="16"/>
          <w:color w:val="auto"/>
        </w:rPr>
        <w:t>Clint Jones, co-founder and CEO said, “During the third quarter, we delivered revenue growth of 30%, while also exceeding our agent hiring goals in preparation for a successful Annual Enrollment Period. We are excited about our ability to grow our membership base during AEP and deliver the trusted healthcare advice seniors need to navigate the increasingly complex Medicare market. This increase in our agent force will enable us to better serve more seniors during this year’s AEP, grow our membership base and realize the potential of this enormous market opportunity. As a result of our agent hiring and momentum in our Encompass Platform, we are reaffirming our full-year 2021 guidance.”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Third Quarter 2021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company revenue grew 30% to $211.7 million, net of a $6.7 million negative revenue adjustment relating to revenue estimates from prior periods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Medicare—Internal net revenue increased 19% to $158.6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Per carrier Approved MA Submission decreased 6% to $926</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136% to negative $14.1 million</w:t>
      </w:r>
    </w:p>
    <w:p>
      <w:pPr>
        <w:spacing w:after="0" w:line="58" w:lineRule="exact"/>
        <w:rPr>
          <w:rFonts w:ascii="Arial" w:cs="Arial" w:eastAsia="Arial" w:hAnsi="Arial"/>
          <w:sz w:val="16"/>
          <w:szCs w:val="16"/>
          <w:color w:val="auto"/>
        </w:rPr>
      </w:pPr>
    </w:p>
    <w:p>
      <w:pPr>
        <w:jc w:val="both"/>
        <w:ind w:left="1300" w:right="260" w:hanging="320"/>
        <w:spacing w:after="0" w:line="253"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Investment in customer care and enrollment grew to $87.8 million, an increase of 112% excluding non-cash share-based compensation expense relating to the accelerated vesting of performance-vesting units in connection with the IPO in prior year results, which primarily represents the costs to hire and onboard agents in advance of the Annual Enrollment Period (“AEP”)</w:t>
      </w:r>
    </w:p>
    <w:p>
      <w:pPr>
        <w:spacing w:after="0" w:line="93" w:lineRule="exact"/>
        <w:rPr>
          <w:rFonts w:ascii="Arial" w:cs="Arial" w:eastAsia="Arial" w:hAnsi="Arial"/>
          <w:sz w:val="16"/>
          <w:szCs w:val="16"/>
          <w:color w:val="auto"/>
        </w:rPr>
      </w:pPr>
    </w:p>
    <w:p>
      <w:pPr>
        <w:ind w:left="1940" w:hanging="312"/>
        <w:spacing w:after="0"/>
        <w:tabs>
          <w:tab w:leader="none" w:pos="1940" w:val="left"/>
        </w:tabs>
        <w:numPr>
          <w:ilvl w:val="2"/>
          <w:numId w:val="3"/>
        </w:numPr>
        <w:rPr>
          <w:rFonts w:ascii="Arial" w:cs="Arial" w:eastAsia="Arial" w:hAnsi="Arial"/>
          <w:sz w:val="16"/>
          <w:szCs w:val="16"/>
          <w:color w:val="auto"/>
        </w:rPr>
      </w:pPr>
      <w:r>
        <w:rPr>
          <w:rFonts w:ascii="Arial" w:cs="Arial" w:eastAsia="Arial" w:hAnsi="Arial"/>
          <w:sz w:val="16"/>
          <w:szCs w:val="16"/>
          <w:color w:val="auto"/>
        </w:rPr>
        <w:t>Agent counts grew well ahead of the 50% target as the Company prepares for the AEP and fiscal 2022</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cost of revenue, marketing and advertising expense grew 28%, roughly in line with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YTD 2021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company revenue grew 42% to $612.8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Medicare—Internal net revenue increased 51% to $476.4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Per carrier Approved MA Submission increased 5% to $957</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68% to $32.3 million</w:t>
      </w:r>
    </w:p>
    <w:p>
      <w:pPr>
        <w:spacing w:after="0" w:line="58" w:lineRule="exact"/>
        <w:rPr>
          <w:rFonts w:ascii="Arial" w:cs="Arial" w:eastAsia="Arial" w:hAnsi="Arial"/>
          <w:sz w:val="16"/>
          <w:szCs w:val="16"/>
          <w:color w:val="auto"/>
        </w:rPr>
      </w:pPr>
    </w:p>
    <w:p>
      <w:pPr>
        <w:ind w:left="1300" w:right="160" w:hanging="320"/>
        <w:spacing w:after="0" w:line="253"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Investment in customer care and enrollment grew to $196.8 million, an increase of 110% excluding non-cash share-based compensation expense relating to the accelerated vesting of performance-vesting units in connection with the IPO in prior year results, which primarily represents the costs to hire and onboard agents in advance of the AEP</w:t>
      </w:r>
    </w:p>
    <w:p>
      <w:pPr>
        <w:spacing w:after="0" w:line="9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cost of revenue, marketing and advertising expense grew 44%, roughly in line with sales growth</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2021 Financial Outlook</w:t>
      </w:r>
    </w:p>
    <w:p>
      <w:pPr>
        <w:spacing w:after="0" w:line="133"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The Company is reaffirming its financial outlook for the fiscal year ending December 31, 2021 based on current market conditions and expectations:</w:t>
      </w:r>
    </w:p>
    <w:p>
      <w:pPr>
        <w:spacing w:after="0" w:line="7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net revenue of $1,200 - $1,300 million, representing year-over-year growth of 37% - 48%</w:t>
      </w:r>
    </w:p>
    <w:p>
      <w:pPr>
        <w:spacing w:after="0" w:line="113" w:lineRule="exact"/>
        <w:rPr>
          <w:rFonts w:ascii="Arial" w:cs="Arial" w:eastAsia="Arial" w:hAnsi="Arial"/>
          <w:sz w:val="16"/>
          <w:szCs w:val="16"/>
          <w:b w:val="1"/>
          <w:bCs w:val="1"/>
          <w:i w:val="1"/>
          <w:iCs w:val="1"/>
          <w:color w:val="auto"/>
        </w:rPr>
      </w:pPr>
    </w:p>
    <w:p>
      <w:pPr>
        <w:ind w:left="1300" w:right="320" w:hanging="320"/>
        <w:spacing w:after="0" w:line="286" w:lineRule="auto"/>
        <w:tabs>
          <w:tab w:leader="none" w:pos="1290" w:val="left"/>
        </w:tabs>
        <w:numPr>
          <w:ilvl w:val="1"/>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commission revenue of $1,000 - $1,100 million, representing year-over-year growth of 49% - 64%, fueled by the Company’s continued investment in its Medicare business, including GoHealth’s Encompass Platform</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Adjusted EBITDA</w:t>
      </w:r>
      <w:r>
        <w:rPr>
          <w:rFonts w:ascii="Arial" w:cs="Arial" w:eastAsia="Arial" w:hAnsi="Arial"/>
          <w:sz w:val="21"/>
          <w:szCs w:val="21"/>
          <w:b w:val="1"/>
          <w:bCs w:val="1"/>
          <w:i w:val="1"/>
          <w:iCs w:val="1"/>
          <w:color w:val="auto"/>
          <w:vertAlign w:val="superscript"/>
        </w:rPr>
        <w:t>1</w:t>
      </w:r>
      <w:r>
        <w:rPr>
          <w:rFonts w:ascii="Arial" w:cs="Arial" w:eastAsia="Arial" w:hAnsi="Arial"/>
          <w:sz w:val="16"/>
          <w:szCs w:val="16"/>
          <w:b w:val="1"/>
          <w:bCs w:val="1"/>
          <w:i w:val="1"/>
          <w:iCs w:val="1"/>
          <w:color w:val="auto"/>
        </w:rPr>
        <w:t xml:space="preserve"> of $300 - $330 million, representing year-over-year growth of 11% - 22%</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Conference Call Details</w:t>
      </w:r>
    </w:p>
    <w:p>
      <w:pPr>
        <w:spacing w:after="0" w:line="120"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will host a conference call today, Tuesday, November 9, 2021 at 5:00 p.m. (ET) to discuss its financial results. A live audio webcast and a supplemental presentation will be available online at https://investors.gohealth.com. The conference call can also be accessed by dialing 1-833-519-1310 for U.S. participants, or 1-914-800-3876 for international participants, and referencing participant code 2553159. A replay of the call will be available for 30 days via webcast for on-demand listening shortly after the completion of the call, at the same web link.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plans and individual and family plans. For more information, visit https://www.gohealth.com.</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Third quarter and YTD 2021 results compared to the comparable prior year period.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2021, including with respect to revenue and Adjusted EBITDA, the growth of our membership base, and our ability to realize the potential of our market opportunity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failure to grow the Company’s customer base or retain its existing customers; the time and cost of training agents are significant and can increase during a period of high attrition;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29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Adjusted EBITDA represents, as applicable for the period, EBITDA as further adjusted for share-based compensation expense, accelerated vesting of certain equity awards, loss on extinguishment of debt, loss on sublease, non-recurring legal fees, change in fair value of contingent consideration liability, IPO transaction costs, and severance costs. Adjusted EBITDA margin represents Adjusted EBITDA divided by net revenues.</w:t>
      </w:r>
    </w:p>
    <w:p>
      <w:pPr>
        <w:spacing w:after="0" w:line="9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360"/>
        <w:spacing w:after="0" w:line="260" w:lineRule="auto"/>
        <w:rPr>
          <w:sz w:val="20"/>
          <w:szCs w:val="20"/>
          <w:color w:val="auto"/>
        </w:rPr>
      </w:pPr>
      <w:r>
        <w:rPr>
          <w:rFonts w:ascii="Arial" w:cs="Arial" w:eastAsia="Arial" w:hAnsi="Arial"/>
          <w:sz w:val="16"/>
          <w:szCs w:val="16"/>
          <w:color w:val="auto"/>
        </w:rPr>
        <w:t>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Management has provided its outlook regarding Adjusted EBITDA, which is a non-GAAP financial measure and excludes certain charges. Reconciliations of Adjusted EBITDA to its most directly comparable GAAP financial measure, net income (loss), is presented in the table below in this press release.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share-based compensation expense, accelerated vesting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equity awards, loss on extinguishment of debt, loss on sublease, non-recurring legal fees, change in fair value of contingent consideration liability, IPO transaction costs, and severance costs.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i w:val="1"/>
          <w:iCs w:val="1"/>
          <w:color w:val="auto"/>
        </w:rPr>
        <w:t xml:space="preserve">“Revenue Per Submission” </w:t>
      </w:r>
      <w:r>
        <w:rPr>
          <w:rFonts w:ascii="Arial" w:cs="Arial" w:eastAsia="Arial" w:hAnsi="Arial"/>
          <w:sz w:val="16"/>
          <w:szCs w:val="16"/>
          <w:color w:val="auto"/>
        </w:rPr>
        <w:t>refers to the total net revenues per Submitted Policy, which we define as (i) total net revenue, excluding revenue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the period, but relating to performance obligations satisfied in prior periods, divided by (ii) the number of Submitted Policies for such period.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9"/>
              </w:rPr>
              <w:t>Three months ended Sep. 30, 2021</w:t>
            </w:r>
          </w:p>
        </w:tc>
        <w:tc>
          <w:tcPr>
            <w:tcW w:w="8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rPr>
              <w:t>Three months ended Sep. 30, 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174,948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82.6 %</w:t>
            </w: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101,390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62.1 %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73,558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72.5 %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36,786</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61,970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(25,184)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211,734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163,360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48,374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53,632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25,827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27,805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107.7 %</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59,511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62,848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87,813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52,896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34,917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66.0 %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11,651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39,520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(27,869)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24,232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11.4 %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156,551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(132,319)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(84.5)%</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260,353</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123.0 %</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361,156</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221.1 %</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(100,803)</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(48,619)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(197,796)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149,177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6,921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8,636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(1,715)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(55,510)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(206,434)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150,924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63"/>
        </w:trPr>
        <w:tc>
          <w:tcPr>
            <w:tcW w:w="45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(55,431)</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(206,496)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151,065</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(35,248)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(150,076)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114,828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(20,183)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(56,420)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36,237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 and diluted (1)</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00" w:type="dxa"/>
            <w:vAlign w:val="bottom"/>
          </w:tcPr>
          <w:p>
            <w:pPr>
              <w:ind w:left="20"/>
              <w:spacing w:after="0" w:line="129" w:lineRule="exact"/>
              <w:rPr>
                <w:sz w:val="20"/>
                <w:szCs w:val="20"/>
                <w:color w:val="auto"/>
              </w:rPr>
            </w:pPr>
            <w:r>
              <w:rPr>
                <w:rFonts w:ascii="Arial" w:cs="Arial" w:eastAsia="Arial" w:hAnsi="Arial"/>
                <w:sz w:val="13"/>
                <w:szCs w:val="13"/>
                <w:color w:val="auto"/>
              </w:rPr>
              <w:t>Weighted-average shares of Class A common stock outstanding — basic and</w:t>
            </w:r>
          </w:p>
        </w:tc>
        <w:tc>
          <w:tcPr>
            <w:tcW w:w="240" w:type="dxa"/>
            <w:vAlign w:val="bottom"/>
          </w:tcPr>
          <w:p>
            <w:pPr>
              <w:spacing w:after="0"/>
              <w:rPr>
                <w:sz w:val="11"/>
                <w:szCs w:val="11"/>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113,938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84,183</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(22,519)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(173,021)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(14,068)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39,284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ind w:left="340" w:right="280" w:hanging="332"/>
        <w:spacing w:after="0" w:line="242" w:lineRule="auto"/>
        <w:tabs>
          <w:tab w:leader="none" w:pos="332"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Net loss per share of Class A common stock—basic and diluted is the same for both the three and nine months ended September 30, 2020 as both periods are based on the post-IPO net loss from July 17, 2020 to September 30, 2020.</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7"/>
              </w:rPr>
              <w:t>Nine months ended Sep. 30, 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7"/>
              </w:rPr>
              <w:t>Nine months ended Sep. 30, 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496,437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81.0 %</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310,506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72.0 %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185,931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59.9 %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116,378</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120,921</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612,815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431,427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181,388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139,449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22.8 %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104,520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34,929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33.4 %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169,730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110,556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59,174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196,834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32.1 %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105,267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91,567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87.0 %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33,251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49,818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69,176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177,400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(108,224)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678,983</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110.8 %</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637,804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147.8 %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41,179</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(66,168)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(206,377)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140,209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23,886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24,378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(102,016)</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(230,261)</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(53.4)%</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128,245</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(101,874)</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(230,299)</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(53.4)%</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128,425</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69"/>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(67,612)</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(150,076)</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82,464</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GoHealth,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(34,262)</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(80,223)</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(18.6)%</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45,961</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 (1)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(0.33)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Weighted-average shares of Class A common stock outstanding — basic and</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102,939</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84,183</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(132,441)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32,322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101,141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ind w:left="340" w:right="280" w:hanging="332"/>
        <w:spacing w:after="0" w:line="242" w:lineRule="auto"/>
        <w:tabs>
          <w:tab w:leader="none" w:pos="332"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Net loss per share of Class A common stock—basic and diluted is the same for both the three and nine months ended September 30, 2020 as both periods are based on the post-IPO net loss from July 17, 2020 to September 30, 2020.</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6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1"/>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211,734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163,360</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(55,431)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(206,496)</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8,636</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26,070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24,777</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(22,519)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(173,021)</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2,770</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Accelerated vesting of certain equity awards (2)</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sublease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IPO transaction costs (4)</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(14,068)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39,284</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24.0 %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40" w:right="200" w:hanging="332"/>
        <w:spacing w:after="0" w:line="238" w:lineRule="auto"/>
        <w:tabs>
          <w:tab w:leader="none" w:pos="332"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 for the three months ended September 30, 2020.</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 entered into during the three months ended September 30, 2021.</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Nine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612,815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431,427</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(101,874)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(230,299)</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23,886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24,378</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77,175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73,442</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(132,441)</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20,100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3,846</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Accelerated vesting of certain equity awards (3)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209,300</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Loss on sublease (4)</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(5)</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 (6)</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IPO transaction costs (7)</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Severance costs (8)</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32,322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101,141</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5.3 %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23.4 %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40" w:right="260" w:hanging="332"/>
        <w:spacing w:after="0" w:line="238" w:lineRule="auto"/>
        <w:tabs>
          <w:tab w:leader="none" w:pos="332"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 for the nine months ended September 30, 2020.</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 entered into during the nine months ended September 30, 2021.</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8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Nine months</w:t>
            </w: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2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2"/>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24,829</w:t>
            </w: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12,050</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32,907</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143,360</w:t>
            </w: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212,070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213,146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 30, 2021</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2020</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$634 in 2021 and $787 in 2020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14,211</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 from NVX Holdings, Inc.</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133,422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188,128</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41,854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256,512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391,822</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837,958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622,270</w:t>
            </w:r>
          </w:p>
        </w:tc>
        <w:tc>
          <w:tcPr>
            <w:tcW w:w="0" w:type="dxa"/>
            <w:vAlign w:val="bottom"/>
          </w:tcPr>
          <w:p>
            <w:pPr>
              <w:spacing w:after="0"/>
              <w:rPr>
                <w:sz w:val="1"/>
                <w:szCs w:val="1"/>
                <w:color w:val="auto"/>
              </w:rPr>
            </w:pPr>
          </w:p>
        </w:tc>
      </w:tr>
      <w:tr>
        <w:trPr>
          <w:trHeight w:val="167"/>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17,353</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618,183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688,726</w:t>
            </w: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76"/>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2,130,618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32,737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26,926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78,478</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132,932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127,371</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237,005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182,596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439,216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396,400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679,897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582,270</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40"/>
              <w:spacing w:after="0" w:line="129" w:lineRule="exact"/>
              <w:rPr>
                <w:sz w:val="20"/>
                <w:szCs w:val="20"/>
                <w:color w:val="auto"/>
              </w:rPr>
            </w:pPr>
            <w:r>
              <w:rPr>
                <w:rFonts w:ascii="Arial" w:cs="Arial" w:eastAsia="Arial" w:hAnsi="Arial"/>
                <w:sz w:val="13"/>
                <w:szCs w:val="13"/>
                <w:color w:val="auto"/>
                <w:w w:val="99"/>
              </w:rPr>
              <w:t>Class A common stock – $0.0001 par value; 1,100,000 shares authorized; 114,713 and 84,196 shares issued and outstanding at September 30,</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2021 and December 31, 2020, respectively.</w:t>
            </w: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50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Class B common stock – $0.0001 par value; 588,002 and 619,004 shares authorized; 205,995 and 236,997 shares issued and outstanding at</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September 30, 2021 and December 31, 2020, respectively.</w:t>
            </w: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40"/>
              <w:spacing w:after="0" w:line="129" w:lineRule="exact"/>
              <w:rPr>
                <w:sz w:val="20"/>
                <w:szCs w:val="20"/>
                <w:color w:val="auto"/>
              </w:rPr>
            </w:pPr>
            <w:r>
              <w:rPr>
                <w:rFonts w:ascii="Arial" w:cs="Arial" w:eastAsia="Arial" w:hAnsi="Arial"/>
                <w:sz w:val="13"/>
                <w:szCs w:val="13"/>
                <w:color w:val="auto"/>
              </w:rPr>
              <w:t>Preferred stock – $0.0001 par value; 20,000 shares authorized; no shares issued and outstanding at September 30, 2021 and December 31,</w:t>
            </w:r>
          </w:p>
        </w:tc>
        <w:tc>
          <w:tcPr>
            <w:tcW w:w="18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399,169</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(18,802)</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497,419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380,416</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820,370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1,018,739</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1,317,789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1,399,155</w:t>
            </w: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2,130,618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Nine months</w:t>
            </w: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(101,874)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(230,299)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213,146</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70,543</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Loss on sublease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14,860</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(160,982)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(117,888)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(10,884)</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18,298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(4,402)</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40,188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27,983</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4,138</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28,835</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(12,023)</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(19,269)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(12,023)</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852,407</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partial consideration of the Blocker Merger</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(96,165)</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Purchase of LLC Interests</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(508,320)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term loans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Payments of term loans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(297,903)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(6,291)</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265,578</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(59,013)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282,322</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20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85,221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294,598</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Class A and Class B common stock in connection with Reorganization 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0"/>
        </w:trPr>
        <w:tc>
          <w:tcPr>
            <w:tcW w:w="8940" w:type="dxa"/>
            <w:vAlign w:val="bottom"/>
          </w:tcPr>
          <w:p>
            <w:pPr>
              <w:ind w:left="240"/>
              <w:spacing w:after="0"/>
              <w:rPr>
                <w:sz w:val="20"/>
                <w:szCs w:val="20"/>
                <w:color w:val="auto"/>
              </w:rPr>
            </w:pPr>
            <w:r>
              <w:rPr>
                <w:rFonts w:ascii="Arial" w:cs="Arial" w:eastAsia="Arial" w:hAnsi="Arial"/>
                <w:sz w:val="13"/>
                <w:szCs w:val="13"/>
                <w:color w:val="auto"/>
              </w:rPr>
              <w:t>Settlement of contingent consideration liability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62,400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Three months ended Sep. 30, 2021</w:t>
            </w:r>
          </w:p>
        </w:tc>
        <w:tc>
          <w:tcPr>
            <w:tcW w:w="10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Three months ended Sep. 30,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20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158,605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74.9 %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133,723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82.0 %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24,882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5,742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6,147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3,238</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(2,088)</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211,734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163,360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48,374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(4,126)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49,464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(53,590)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2,186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2,431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(324.5)%</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50,086</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(50,490)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24,701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224,368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(199,667)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(55,510)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(206,434)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150,924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220" w:type="dxa"/>
            <w:vAlign w:val="bottom"/>
            <w:gridSpan w:val="5"/>
          </w:tcPr>
          <w:p>
            <w:pPr>
              <w:ind w:left="60"/>
              <w:spacing w:after="0"/>
              <w:rPr>
                <w:sz w:val="20"/>
                <w:szCs w:val="20"/>
                <w:color w:val="auto"/>
              </w:rPr>
            </w:pPr>
            <w:r>
              <w:rPr>
                <w:rFonts w:ascii="Arial" w:cs="Arial" w:eastAsia="Arial" w:hAnsi="Arial"/>
                <w:sz w:val="13"/>
                <w:szCs w:val="13"/>
                <w:b w:val="1"/>
                <w:bCs w:val="1"/>
                <w:color w:val="auto"/>
              </w:rPr>
              <w:t>Nine months ended Sep. 30, 2021</w:t>
            </w:r>
          </w:p>
        </w:tc>
        <w:tc>
          <w:tcPr>
            <w:tcW w:w="224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 Sep. 30, 2020</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476,391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77.7 %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316,211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73.3 %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160,180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50.7 %</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39,811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13,505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21,798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(8,293)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16,113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612,815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431,427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181,388</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73,574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123,946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(50,372)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73,551</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125,808</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(52,257)</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69,176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241,942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(172,766)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24,378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(230,261)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128,245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89" w:right="339" w:bottom="1440" w:gutter="0" w:footer="0" w:header="0"/>
        </w:sectPr>
      </w:pPr>
    </w:p>
    <w:bookmarkStart w:id="13" w:name="page14"/>
    <w:bookmarkEnd w:id="13"/>
    <w:p>
      <w:pPr>
        <w:ind w:right="26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nine months ended September 30, 2021 and 2020, for those submissions that are commissionable (compensated through commissions received from carriers):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Nine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149,680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97,675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475,717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314,088</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648</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1,245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2,774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6,164</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6,437</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152,251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100,926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485,381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326,689</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and nine months ended September 30, 2021 and 2020. Only commissionable policies are used to calculate LTV.</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Nine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77,186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395,804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228,612</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1,602</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5,319</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148,010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79,075</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403,031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235,533</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54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Nine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121,179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80,656</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427</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4,035</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48,106</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20,586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123,718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85,897</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for the three and nine months ended September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Nine months</w:t>
            </w:r>
          </w:p>
        </w:tc>
        <w:tc>
          <w:tcPr>
            <w:tcW w:w="10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913</w:t>
            </w:r>
          </w:p>
        </w:tc>
        <w:tc>
          <w:tcPr>
            <w:tcW w:w="0" w:type="dxa"/>
            <w:vAlign w:val="bottom"/>
          </w:tcPr>
          <w:p>
            <w:pPr>
              <w:spacing w:after="0"/>
              <w:rPr>
                <w:sz w:val="1"/>
                <w:szCs w:val="1"/>
                <w:color w:val="auto"/>
              </w:rPr>
            </w:pPr>
          </w:p>
        </w:tc>
      </w:tr>
      <w:tr>
        <w:trPr>
          <w:trHeight w:val="167"/>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874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nine months ended September 30, 2021 and 2020, for those submissions that are non-commissionable (compensated via hourly fees and enrollment fees) and do not result in commission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Nine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Nine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20,806</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1,327</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5,019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5,262</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3,401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9,222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17,940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28,855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presents a reconciliation from net income to non-GAAP Adjusted EBITDA guidance for the twelve months ended December 31, 2021:</w:t>
      </w:r>
    </w:p>
    <w:p>
      <w:pPr>
        <w:spacing w:after="0" w:line="118" w:lineRule="exact"/>
        <w:rPr>
          <w:sz w:val="20"/>
          <w:szCs w:val="20"/>
          <w:color w:val="auto"/>
        </w:rPr>
      </w:pPr>
    </w:p>
    <w:p>
      <w:pPr>
        <w:jc w:val="center"/>
        <w:ind w:left="8700"/>
        <w:spacing w:after="0"/>
        <w:rPr>
          <w:sz w:val="20"/>
          <w:szCs w:val="20"/>
          <w:color w:val="auto"/>
        </w:rPr>
      </w:pPr>
      <w:r>
        <w:rPr>
          <w:rFonts w:ascii="Arial" w:cs="Arial" w:eastAsia="Arial" w:hAnsi="Arial"/>
          <w:sz w:val="13"/>
          <w:szCs w:val="13"/>
          <w:b w:val="1"/>
          <w:bCs w:val="1"/>
          <w:color w:val="auto"/>
        </w:rPr>
        <w:t>Twelve months ended</w:t>
      </w:r>
    </w:p>
    <w:p>
      <w:pPr>
        <w:jc w:val="center"/>
        <w:ind w:left="8700"/>
        <w:spacing w:after="0"/>
        <w:rPr>
          <w:sz w:val="20"/>
          <w:szCs w:val="20"/>
          <w:color w:val="auto"/>
        </w:rPr>
      </w:pPr>
      <w:r>
        <w:rPr>
          <w:rFonts w:ascii="Arial" w:cs="Arial" w:eastAsia="Arial" w:hAnsi="Arial"/>
          <w:sz w:val="13"/>
          <w:szCs w:val="13"/>
          <w:b w:val="1"/>
          <w:bCs w:val="1"/>
          <w:color w:val="auto"/>
        </w:rPr>
        <w:t>Dec.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Guidance Range</w:t>
            </w:r>
          </w:p>
        </w:tc>
        <w:tc>
          <w:tcPr>
            <w:tcW w:w="7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72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Low</w:t>
            </w:r>
          </w:p>
        </w:tc>
        <w:tc>
          <w:tcPr>
            <w:tcW w:w="460" w:type="dxa"/>
            <w:vAlign w:val="bottom"/>
          </w:tcPr>
          <w:p>
            <w:pPr>
              <w:spacing w:after="0"/>
              <w:rPr>
                <w:sz w:val="14"/>
                <w:szCs w:val="14"/>
                <w:color w:val="auto"/>
              </w:rPr>
            </w:pPr>
          </w:p>
        </w:tc>
        <w:tc>
          <w:tcPr>
            <w:tcW w:w="760" w:type="dxa"/>
            <w:vAlign w:val="bottom"/>
          </w:tcPr>
          <w:p>
            <w:pPr>
              <w:jc w:val="right"/>
              <w:ind w:right="397"/>
              <w:spacing w:after="0"/>
              <w:rPr>
                <w:sz w:val="20"/>
                <w:szCs w:val="20"/>
                <w:color w:val="auto"/>
              </w:rPr>
            </w:pPr>
            <w:r>
              <w:rPr>
                <w:rFonts w:ascii="Arial" w:cs="Arial" w:eastAsia="Arial" w:hAnsi="Arial"/>
                <w:sz w:val="13"/>
                <w:szCs w:val="13"/>
                <w:b w:val="1"/>
                <w:bCs w:val="1"/>
                <w:color w:val="auto"/>
                <w:w w:val="96"/>
              </w:rPr>
              <w:t>High</w:t>
            </w:r>
          </w:p>
        </w:tc>
        <w:tc>
          <w:tcPr>
            <w:tcW w:w="0" w:type="dxa"/>
            <w:vAlign w:val="bottom"/>
          </w:tcPr>
          <w:p>
            <w:pPr>
              <w:spacing w:after="0"/>
              <w:rPr>
                <w:sz w:val="1"/>
                <w:szCs w:val="1"/>
                <w:color w:val="auto"/>
              </w:rPr>
            </w:pPr>
          </w:p>
        </w:tc>
      </w:tr>
      <w:tr>
        <w:trPr>
          <w:trHeight w:val="173"/>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1,200,000</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1,300,000</w:t>
            </w:r>
          </w:p>
        </w:tc>
        <w:tc>
          <w:tcPr>
            <w:tcW w:w="0" w:type="dxa"/>
            <w:vAlign w:val="bottom"/>
          </w:tcPr>
          <w:p>
            <w:pPr>
              <w:spacing w:after="0"/>
              <w:rPr>
                <w:sz w:val="1"/>
                <w:szCs w:val="1"/>
                <w:color w:val="auto"/>
              </w:rPr>
            </w:pPr>
          </w:p>
        </w:tc>
      </w:tr>
      <w:tr>
        <w:trPr>
          <w:trHeight w:val="161"/>
        </w:trPr>
        <w:tc>
          <w:tcPr>
            <w:tcW w:w="8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126,603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156,603</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Income tax expense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102,000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102,000</w:t>
            </w: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258,823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288,823</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sublease (3)</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1,062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169"/>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Legal fees (4)</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180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300,000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330,000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3"/>
                <w:szCs w:val="13"/>
                <w:color w:val="auto"/>
              </w:rPr>
              <w:t>25 %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253"/>
        </w:trPr>
        <w:tc>
          <w:tcPr>
            <w:tcW w:w="8720" w:type="dxa"/>
            <w:vAlign w:val="bottom"/>
          </w:tcPr>
          <w:p>
            <w:pPr>
              <w:spacing w:after="0"/>
              <w:rPr>
                <w:sz w:val="20"/>
                <w:szCs w:val="20"/>
                <w:color w:val="auto"/>
              </w:rPr>
            </w:pPr>
            <w:r>
              <w:rPr>
                <w:rFonts w:ascii="Arial" w:cs="Arial" w:eastAsia="Arial" w:hAnsi="Arial"/>
                <w:sz w:val="13"/>
                <w:szCs w:val="13"/>
                <w:color w:val="auto"/>
              </w:rPr>
              <w:t>_________________________</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Term Loan Facility.</w:t>
      </w: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w:t>
      </w: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2021-11-09T15:38:27Z</dcterms:created>
  <dcterms:modified xsi:type="dcterms:W3CDTF">2021-11-09T15:38:27Z</dcterms:modified>
</cp:coreProperties>
</file>