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November 13, 2025</w:t>
      </w:r>
    </w:p>
    <w:p>
      <w:pPr>
        <w:spacing w:after="0" w:line="123"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64" w:lineRule="exact"/>
        <w:rPr>
          <w:sz w:val="24"/>
          <w:szCs w:val="24"/>
          <w:color w:val="auto"/>
        </w:rPr>
      </w:pPr>
    </w:p>
    <w:tbl>
      <w:tblPr>
        <w:tblLayout w:type="fixed"/>
        <w:tblInd w:w="360" w:type="dxa"/>
        <w:tblCellMar>
          <w:top w:w="0" w:type="dxa"/>
          <w:left w:w="0" w:type="dxa"/>
          <w:bottom w:w="0" w:type="dxa"/>
          <w:right w:w="0" w:type="dxa"/>
        </w:tblCellMar>
      </w:tblPr>
      <w:tr>
        <w:trPr>
          <w:trHeight w:val="223"/>
        </w:trPr>
        <w:tc>
          <w:tcPr>
            <w:tcW w:w="3300" w:type="dxa"/>
            <w:vAlign w:val="bottom"/>
          </w:tcPr>
          <w:p>
            <w:pPr>
              <w:jc w:val="center"/>
              <w:spacing w:after="0"/>
              <w:rPr>
                <w:sz w:val="20"/>
                <w:szCs w:val="20"/>
                <w:color w:val="auto"/>
              </w:rPr>
            </w:pPr>
            <w:r>
              <w:rPr>
                <w:rFonts w:ascii="Arial" w:cs="Arial" w:eastAsia="Arial" w:hAnsi="Arial"/>
                <w:sz w:val="16"/>
                <w:szCs w:val="16"/>
                <w:b w:val="1"/>
                <w:bCs w:val="1"/>
                <w:color w:val="auto"/>
              </w:rPr>
              <w:t>Delaware</w:t>
            </w:r>
          </w:p>
        </w:tc>
        <w:tc>
          <w:tcPr>
            <w:tcW w:w="4120" w:type="dxa"/>
            <w:vAlign w:val="bottom"/>
          </w:tcPr>
          <w:p>
            <w:pPr>
              <w:jc w:val="right"/>
              <w:ind w:right="1679"/>
              <w:spacing w:after="0"/>
              <w:rPr>
                <w:sz w:val="20"/>
                <w:szCs w:val="20"/>
                <w:color w:val="auto"/>
              </w:rPr>
            </w:pPr>
            <w:r>
              <w:rPr>
                <w:rFonts w:ascii="Arial" w:cs="Arial" w:eastAsia="Arial" w:hAnsi="Arial"/>
                <w:sz w:val="16"/>
                <w:szCs w:val="16"/>
                <w:b w:val="1"/>
                <w:bCs w:val="1"/>
                <w:color w:val="auto"/>
              </w:rPr>
              <w:t>001-39390</w:t>
            </w:r>
          </w:p>
        </w:tc>
        <w:tc>
          <w:tcPr>
            <w:tcW w:w="2740" w:type="dxa"/>
            <w:vAlign w:val="bottom"/>
          </w:tcPr>
          <w:p>
            <w:pPr>
              <w:jc w:val="right"/>
              <w:ind w:right="739"/>
              <w:spacing w:after="0"/>
              <w:rPr>
                <w:sz w:val="20"/>
                <w:szCs w:val="20"/>
                <w:color w:val="auto"/>
              </w:rPr>
            </w:pPr>
            <w:r>
              <w:rPr>
                <w:rFonts w:ascii="Arial" w:cs="Arial" w:eastAsia="Arial" w:hAnsi="Arial"/>
                <w:sz w:val="16"/>
                <w:szCs w:val="16"/>
                <w:b w:val="1"/>
                <w:bCs w:val="1"/>
                <w:color w:val="auto"/>
              </w:rPr>
              <w:t>85-0563805</w:t>
            </w:r>
          </w:p>
        </w:tc>
      </w:tr>
      <w:tr>
        <w:trPr>
          <w:trHeight w:val="235"/>
        </w:trPr>
        <w:tc>
          <w:tcPr>
            <w:tcW w:w="3300" w:type="dxa"/>
            <w:vAlign w:val="bottom"/>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4120" w:type="dxa"/>
            <w:vAlign w:val="bottom"/>
          </w:tcPr>
          <w:p>
            <w:pPr>
              <w:jc w:val="center"/>
              <w:ind w:right="119"/>
              <w:spacing w:after="0"/>
              <w:rPr>
                <w:sz w:val="20"/>
                <w:szCs w:val="20"/>
                <w:color w:val="auto"/>
              </w:rPr>
            </w:pPr>
            <w:r>
              <w:rPr>
                <w:rFonts w:ascii="Arial" w:cs="Arial" w:eastAsia="Arial" w:hAnsi="Arial"/>
                <w:sz w:val="16"/>
                <w:szCs w:val="16"/>
                <w:color w:val="auto"/>
              </w:rPr>
              <w:t>(Commission File Number)</w:t>
            </w:r>
          </w:p>
        </w:tc>
        <w:tc>
          <w:tcPr>
            <w:tcW w:w="2740" w:type="dxa"/>
            <w:vAlign w:val="bottom"/>
          </w:tcPr>
          <w:p>
            <w:pPr>
              <w:jc w:val="center"/>
              <w:ind w:left="159"/>
              <w:spacing w:after="0"/>
              <w:rPr>
                <w:sz w:val="20"/>
                <w:szCs w:val="20"/>
                <w:color w:val="auto"/>
              </w:rPr>
            </w:pPr>
            <w:r>
              <w:rPr>
                <w:rFonts w:ascii="Arial" w:cs="Arial" w:eastAsia="Arial" w:hAnsi="Arial"/>
                <w:sz w:val="16"/>
                <w:szCs w:val="16"/>
                <w:color w:val="auto"/>
              </w:rPr>
              <w:t>(I.R.S. Employer Identification No.)</w:t>
            </w:r>
          </w:p>
        </w:tc>
      </w:tr>
      <w:tr>
        <w:trPr>
          <w:trHeight w:val="670"/>
        </w:trPr>
        <w:tc>
          <w:tcPr>
            <w:tcW w:w="3300" w:type="dxa"/>
            <w:vAlign w:val="bottom"/>
          </w:tcPr>
          <w:p>
            <w:pPr>
              <w:jc w:val="center"/>
              <w:spacing w:after="0"/>
              <w:rPr>
                <w:sz w:val="20"/>
                <w:szCs w:val="20"/>
                <w:color w:val="auto"/>
              </w:rPr>
            </w:pPr>
            <w:r>
              <w:rPr>
                <w:rFonts w:ascii="Arial" w:cs="Arial" w:eastAsia="Arial" w:hAnsi="Arial"/>
                <w:sz w:val="16"/>
                <w:szCs w:val="16"/>
                <w:b w:val="1"/>
                <w:bCs w:val="1"/>
                <w:color w:val="auto"/>
              </w:rPr>
              <w:t>222 W Merchandise Mart Plaza, Suite 1750</w:t>
            </w:r>
          </w:p>
        </w:tc>
        <w:tc>
          <w:tcPr>
            <w:tcW w:w="41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57"/>
        </w:trPr>
        <w:tc>
          <w:tcPr>
            <w:tcW w:w="3300" w:type="dxa"/>
            <w:vAlign w:val="bottom"/>
          </w:tcPr>
          <w:p>
            <w:pPr>
              <w:ind w:left="920"/>
              <w:spacing w:after="0"/>
              <w:rPr>
                <w:sz w:val="20"/>
                <w:szCs w:val="20"/>
                <w:color w:val="auto"/>
              </w:rPr>
            </w:pPr>
            <w:r>
              <w:rPr>
                <w:rFonts w:ascii="Arial" w:cs="Arial" w:eastAsia="Arial" w:hAnsi="Arial"/>
                <w:sz w:val="16"/>
                <w:szCs w:val="16"/>
                <w:b w:val="1"/>
                <w:bCs w:val="1"/>
                <w:color w:val="auto"/>
              </w:rPr>
              <w:t>Chicago, Illinois</w:t>
            </w:r>
          </w:p>
        </w:tc>
        <w:tc>
          <w:tcPr>
            <w:tcW w:w="4120" w:type="dxa"/>
            <w:vAlign w:val="bottom"/>
          </w:tcPr>
          <w:p>
            <w:pPr>
              <w:spacing w:after="0"/>
              <w:rPr>
                <w:sz w:val="22"/>
                <w:szCs w:val="22"/>
                <w:color w:val="auto"/>
              </w:rPr>
            </w:pPr>
          </w:p>
        </w:tc>
        <w:tc>
          <w:tcPr>
            <w:tcW w:w="2740" w:type="dxa"/>
            <w:vAlign w:val="bottom"/>
          </w:tcPr>
          <w:p>
            <w:pPr>
              <w:jc w:val="right"/>
              <w:ind w:right="939"/>
              <w:spacing w:after="0"/>
              <w:rPr>
                <w:sz w:val="20"/>
                <w:szCs w:val="20"/>
                <w:color w:val="auto"/>
              </w:rPr>
            </w:pPr>
            <w:r>
              <w:rPr>
                <w:rFonts w:ascii="Arial" w:cs="Arial" w:eastAsia="Arial" w:hAnsi="Arial"/>
                <w:sz w:val="16"/>
                <w:szCs w:val="16"/>
                <w:b w:val="1"/>
                <w:bCs w:val="1"/>
                <w:color w:val="auto"/>
              </w:rPr>
              <w:t>60654</w:t>
            </w:r>
          </w:p>
        </w:tc>
      </w:tr>
      <w:tr>
        <w:trPr>
          <w:trHeight w:val="235"/>
        </w:trPr>
        <w:tc>
          <w:tcPr>
            <w:tcW w:w="330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4120" w:type="dxa"/>
            <w:vAlign w:val="bottom"/>
          </w:tcPr>
          <w:p>
            <w:pPr>
              <w:spacing w:after="0"/>
              <w:rPr>
                <w:sz w:val="20"/>
                <w:szCs w:val="20"/>
                <w:color w:val="auto"/>
              </w:rPr>
            </w:pPr>
          </w:p>
        </w:tc>
        <w:tc>
          <w:tcPr>
            <w:tcW w:w="2740" w:type="dxa"/>
            <w:vAlign w:val="bottom"/>
          </w:tcPr>
          <w:p>
            <w:pPr>
              <w:jc w:val="center"/>
              <w:ind w:left="159"/>
              <w:spacing w:after="0"/>
              <w:rPr>
                <w:sz w:val="20"/>
                <w:szCs w:val="20"/>
                <w:color w:val="auto"/>
              </w:rPr>
            </w:pPr>
            <w:r>
              <w:rPr>
                <w:rFonts w:ascii="Arial" w:cs="Arial" w:eastAsia="Arial" w:hAnsi="Arial"/>
                <w:sz w:val="16"/>
                <w:szCs w:val="16"/>
                <w:color w:val="auto"/>
              </w:rPr>
              <w:t>(Zip Code)</w:t>
            </w:r>
          </w:p>
        </w:tc>
      </w:tr>
      <w:tr>
        <w:trPr>
          <w:trHeight w:val="413"/>
        </w:trPr>
        <w:tc>
          <w:tcPr>
            <w:tcW w:w="3300" w:type="dxa"/>
            <w:vAlign w:val="bottom"/>
          </w:tcPr>
          <w:p>
            <w:pPr>
              <w:spacing w:after="0"/>
              <w:rPr>
                <w:sz w:val="24"/>
                <w:szCs w:val="24"/>
                <w:color w:val="auto"/>
              </w:rPr>
            </w:pPr>
          </w:p>
        </w:tc>
        <w:tc>
          <w:tcPr>
            <w:tcW w:w="4120" w:type="dxa"/>
            <w:vAlign w:val="bottom"/>
          </w:tcPr>
          <w:p>
            <w:pPr>
              <w:jc w:val="right"/>
              <w:ind w:right="1519"/>
              <w:spacing w:after="0"/>
              <w:rPr>
                <w:sz w:val="20"/>
                <w:szCs w:val="20"/>
                <w:color w:val="auto"/>
              </w:rPr>
            </w:pPr>
            <w:r>
              <w:rPr>
                <w:rFonts w:ascii="Arial" w:cs="Arial" w:eastAsia="Arial" w:hAnsi="Arial"/>
                <w:sz w:val="16"/>
                <w:szCs w:val="16"/>
                <w:b w:val="1"/>
                <w:bCs w:val="1"/>
                <w:color w:val="auto"/>
              </w:rPr>
              <w:t>(312) 386-8200</w:t>
            </w:r>
          </w:p>
        </w:tc>
        <w:tc>
          <w:tcPr>
            <w:tcW w:w="2740" w:type="dxa"/>
            <w:vAlign w:val="bottom"/>
          </w:tcPr>
          <w:p>
            <w:pPr>
              <w:spacing w:after="0"/>
              <w:rPr>
                <w:sz w:val="24"/>
                <w:szCs w:val="24"/>
                <w:color w:val="auto"/>
              </w:rPr>
            </w:pPr>
          </w:p>
        </w:tc>
      </w:tr>
      <w:tr>
        <w:trPr>
          <w:trHeight w:val="303"/>
        </w:trPr>
        <w:tc>
          <w:tcPr>
            <w:tcW w:w="3300" w:type="dxa"/>
            <w:vAlign w:val="bottom"/>
          </w:tcPr>
          <w:p>
            <w:pPr>
              <w:spacing w:after="0"/>
              <w:rPr>
                <w:sz w:val="24"/>
                <w:szCs w:val="24"/>
                <w:color w:val="auto"/>
              </w:rPr>
            </w:pPr>
          </w:p>
        </w:tc>
        <w:tc>
          <w:tcPr>
            <w:tcW w:w="4120" w:type="dxa"/>
            <w:vAlign w:val="bottom"/>
          </w:tcPr>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tc>
        <w:tc>
          <w:tcPr>
            <w:tcW w:w="2740" w:type="dxa"/>
            <w:vAlign w:val="bottom"/>
          </w:tcPr>
          <w:p>
            <w:pPr>
              <w:spacing w:after="0"/>
              <w:rPr>
                <w:sz w:val="24"/>
                <w:szCs w:val="24"/>
                <w:color w:val="auto"/>
              </w:rPr>
            </w:pPr>
          </w:p>
        </w:tc>
      </w:tr>
      <w:tr>
        <w:trPr>
          <w:trHeight w:val="305"/>
        </w:trPr>
        <w:tc>
          <w:tcPr>
            <w:tcW w:w="3300" w:type="dxa"/>
            <w:vAlign w:val="bottom"/>
          </w:tcPr>
          <w:p>
            <w:pPr>
              <w:spacing w:after="0"/>
              <w:rPr>
                <w:sz w:val="24"/>
                <w:szCs w:val="24"/>
                <w:color w:val="auto"/>
              </w:rPr>
            </w:pPr>
          </w:p>
        </w:tc>
        <w:tc>
          <w:tcPr>
            <w:tcW w:w="4120" w:type="dxa"/>
            <w:vAlign w:val="bottom"/>
          </w:tcPr>
          <w:p>
            <w:pPr>
              <w:jc w:val="center"/>
              <w:ind w:right="119"/>
              <w:spacing w:after="0"/>
              <w:rPr>
                <w:sz w:val="20"/>
                <w:szCs w:val="20"/>
                <w:color w:val="auto"/>
              </w:rPr>
            </w:pPr>
            <w:r>
              <w:rPr>
                <w:rFonts w:ascii="Arial" w:cs="Arial" w:eastAsia="Arial" w:hAnsi="Arial"/>
                <w:sz w:val="16"/>
                <w:szCs w:val="16"/>
                <w:b w:val="1"/>
                <w:bCs w:val="1"/>
                <w:color w:val="auto"/>
              </w:rPr>
              <w:t>N/A</w:t>
            </w:r>
          </w:p>
        </w:tc>
        <w:tc>
          <w:tcPr>
            <w:tcW w:w="2740" w:type="dxa"/>
            <w:vAlign w:val="bottom"/>
          </w:tcPr>
          <w:p>
            <w:pPr>
              <w:spacing w:after="0"/>
              <w:rPr>
                <w:sz w:val="24"/>
                <w:szCs w:val="24"/>
                <w:color w:val="auto"/>
              </w:rPr>
            </w:pPr>
          </w:p>
        </w:tc>
      </w:tr>
    </w:tbl>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10"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02"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3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3"/>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0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9"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48"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On November 13, 2025, the Company issued a press release announcing its financial results for the quarter ended September 30, 2025. A copy of the press release is furnished as Exhibit 99.1 to this Current Report on Form 8-K.</w:t>
      </w:r>
    </w:p>
    <w:p>
      <w:pPr>
        <w:spacing w:after="0" w:line="168"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shall be expressly set forth by specific reference in such filing.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included herewith:</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6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173"/>
        </w:trPr>
        <w:tc>
          <w:tcPr>
            <w:tcW w:w="1560" w:type="dxa"/>
            <w:vAlign w:val="bottom"/>
            <w:tcBorders>
              <w:top w:val="single" w:sz="8" w:color="auto"/>
            </w:tcBorders>
          </w:tcPr>
          <w:p>
            <w:pPr>
              <w:jc w:val="right"/>
              <w:ind w:right="559"/>
              <w:spacing w:after="0" w:line="173" w:lineRule="exact"/>
              <w:rPr>
                <w:sz w:val="20"/>
                <w:szCs w:val="20"/>
                <w:color w:val="auto"/>
              </w:rPr>
            </w:pPr>
            <w:r>
              <w:rPr>
                <w:rFonts w:ascii="Arial" w:cs="Arial" w:eastAsia="Arial" w:hAnsi="Arial"/>
                <w:sz w:val="16"/>
                <w:szCs w:val="16"/>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600" w:type="dxa"/>
            <w:vAlign w:val="bottom"/>
            <w:tcBorders>
              <w:top w:val="single" w:sz="8" w:color="auto"/>
              <w:bottom w:val="single" w:sz="8" w:color="0000FF"/>
            </w:tcBorders>
          </w:tcPr>
          <w:p>
            <w:pPr>
              <w:spacing w:after="0" w:line="173" w:lineRule="exact"/>
              <w:rPr>
                <w:sz w:val="20"/>
                <w:szCs w:val="20"/>
                <w:color w:val="auto"/>
              </w:rPr>
            </w:pPr>
            <w:r>
              <w:rPr>
                <w:rFonts w:ascii="Arial" w:cs="Arial" w:eastAsia="Arial" w:hAnsi="Arial"/>
                <w:sz w:val="16"/>
                <w:szCs w:val="16"/>
                <w:color w:val="0000FF"/>
              </w:rPr>
              <w:t>Press Release issued by GoHealth, Inc. on November 13, 2025.</w:t>
            </w:r>
          </w:p>
        </w:tc>
        <w:tc>
          <w:tcPr>
            <w:tcW w:w="4960" w:type="dxa"/>
            <w:vAlign w:val="bottom"/>
            <w:tcBorders>
              <w:top w:val="single" w:sz="8" w:color="auto"/>
            </w:tcBorders>
          </w:tcPr>
          <w:p>
            <w:pPr>
              <w:spacing w:after="0"/>
              <w:rPr>
                <w:sz w:val="15"/>
                <w:szCs w:val="15"/>
                <w:color w:val="auto"/>
              </w:rPr>
            </w:pPr>
          </w:p>
        </w:tc>
      </w:tr>
      <w:tr>
        <w:trPr>
          <w:trHeight w:val="248"/>
        </w:trPr>
        <w:tc>
          <w:tcPr>
            <w:tcW w:w="1560" w:type="dxa"/>
            <w:vAlign w:val="bottom"/>
          </w:tcPr>
          <w:p>
            <w:pPr>
              <w:jc w:val="right"/>
              <w:ind w:right="57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gridSpan w:val="2"/>
          </w:tcPr>
          <w:p>
            <w:pPr>
              <w:spacing w:after="0"/>
              <w:rPr>
                <w:sz w:val="20"/>
                <w:szCs w:val="20"/>
                <w:color w:val="auto"/>
              </w:rPr>
            </w:pPr>
            <w:r>
              <w:rPr>
                <w:rFonts w:ascii="Arial" w:cs="Arial" w:eastAsia="Arial" w:hAnsi="Arial"/>
                <w:sz w:val="16"/>
                <w:szCs w:val="16"/>
                <w:color w:val="auto"/>
              </w:rPr>
              <w:t>Cover Page Interactive Data File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2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02"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November 13, 2025</w:t>
      </w:r>
      <w:r>
        <w:rPr>
          <w:sz w:val="20"/>
          <w:szCs w:val="20"/>
          <w:color w:val="auto"/>
        </w:rPr>
        <w:tab/>
      </w:r>
      <w:r>
        <w:rPr>
          <w:rFonts w:ascii="Arial" w:cs="Arial" w:eastAsia="Arial" w:hAnsi="Arial"/>
          <w:sz w:val="16"/>
          <w:szCs w:val="16"/>
          <w:color w:val="auto"/>
        </w:rPr>
        <w:t>By: /s/ Brendan Shanahan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Brendan Shanahan</w:t>
      </w:r>
    </w:p>
    <w:p>
      <w:pPr>
        <w:ind w:left="6020"/>
        <w:spacing w:after="0" w:line="221" w:lineRule="auto"/>
        <w:rPr>
          <w:sz w:val="20"/>
          <w:szCs w:val="20"/>
          <w:color w:val="auto"/>
        </w:rPr>
      </w:pPr>
      <w:r>
        <w:rPr>
          <w:rFonts w:ascii="Arial" w:cs="Arial" w:eastAsia="Arial" w:hAnsi="Arial"/>
          <w:sz w:val="16"/>
          <w:szCs w:val="16"/>
          <w:color w:val="auto"/>
        </w:rPr>
        <w:t>Chief Financial Officer</w:t>
      </w:r>
    </w:p>
    <w:p>
      <w:pPr>
        <w:ind w:left="602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40"/>
          </w:cols>
          <w:pgMar w:left="320" w:top="1003" w:right="339" w:bottom="1440" w:gutter="0" w:footer="0" w:header="0"/>
        </w:sectPr>
      </w:pPr>
    </w:p>
    <w:bookmarkStart w:id="2" w:name="page3"/>
    <w:bookmarkEnd w:id="2"/>
    <w:p>
      <w:pPr>
        <w:ind w:left="1030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19050</wp:posOffset>
            </wp:positionV>
            <wp:extent cx="1397000" cy="38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70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60"/>
        <w:spacing w:after="0" w:line="247" w:lineRule="auto"/>
        <w:rPr>
          <w:sz w:val="20"/>
          <w:szCs w:val="20"/>
          <w:color w:val="auto"/>
        </w:rPr>
      </w:pPr>
      <w:r>
        <w:rPr>
          <w:rFonts w:ascii="Arial" w:cs="Arial" w:eastAsia="Arial" w:hAnsi="Arial"/>
          <w:sz w:val="25"/>
          <w:szCs w:val="25"/>
          <w:b w:val="1"/>
          <w:bCs w:val="1"/>
          <w:color w:val="151D8E"/>
        </w:rPr>
        <w:t>GoHealth Prioritizes Retention, Quality, and Strategic Flexibility as Medicare Advantage Market Rationalizes; Reports Third Quarter 2025 Results</w:t>
      </w:r>
    </w:p>
    <w:p>
      <w:pPr>
        <w:spacing w:after="0" w:line="2" w:lineRule="exact"/>
        <w:rPr>
          <w:sz w:val="20"/>
          <w:szCs w:val="20"/>
          <w:color w:val="auto"/>
        </w:rPr>
      </w:pPr>
    </w:p>
    <w:p>
      <w:pPr>
        <w:ind w:left="1100"/>
        <w:spacing w:after="0"/>
        <w:rPr>
          <w:sz w:val="20"/>
          <w:szCs w:val="20"/>
          <w:color w:val="auto"/>
        </w:rPr>
      </w:pPr>
      <w:r>
        <w:rPr>
          <w:rFonts w:ascii="Arial" w:cs="Arial" w:eastAsia="Arial" w:hAnsi="Arial"/>
          <w:sz w:val="16"/>
          <w:szCs w:val="16"/>
          <w:i w:val="1"/>
          <w:iCs w:val="1"/>
          <w:color w:val="auto"/>
        </w:rPr>
        <w:t>Disciplined pullback aims to preserve high-quality member base, retention and engagement model, and platform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CHICAGO, November 13, 2025 — GoHealth, Inc. (NASDAQ: GOCO) (“GoHealth” or the “Company”), a leading health insurance marketplace and Medicare-focused digital health company, today announced financial results for the three and nine months ended September 30, 2025.</w:t>
      </w:r>
    </w:p>
    <w:p>
      <w:pPr>
        <w:spacing w:after="0" w:line="169"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The Company navigated a materially different Medicare Advantage environment by intentionally reducing Medicare Advantage volume, conserving liquidity, and preserving the core capabilities required to scale when market conditions stabilize. Based on our analysis, health plans continue to emphasize margin integrity, renewal stability, and long-term member value over raw enrollment growth.</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GoHealth anticipated this shift and aligned its operating model accordingly, focusing on:</w:t>
      </w:r>
    </w:p>
    <w:p>
      <w:pPr>
        <w:spacing w:after="0" w:line="248" w:lineRule="exact"/>
        <w:rPr>
          <w:sz w:val="20"/>
          <w:szCs w:val="20"/>
          <w:color w:val="auto"/>
        </w:rPr>
      </w:pPr>
    </w:p>
    <w:p>
      <w:pPr>
        <w:ind w:left="660" w:right="380" w:hanging="328"/>
        <w:spacing w:after="0" w:line="268"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Disciplined Pullback: </w:t>
      </w:r>
      <w:r>
        <w:rPr>
          <w:rFonts w:ascii="Arial" w:cs="Arial" w:eastAsia="Arial" w:hAnsi="Arial"/>
          <w:sz w:val="16"/>
          <w:szCs w:val="16"/>
          <w:color w:val="auto"/>
        </w:rPr>
        <w:t>Intentionally reduced Medicare Advantage volume in response to announced health plan emphasis on renewal stability,</w:t>
      </w:r>
      <w:r>
        <w:rPr>
          <w:rFonts w:ascii="Arial" w:cs="Arial" w:eastAsia="Arial" w:hAnsi="Arial"/>
          <w:sz w:val="16"/>
          <w:szCs w:val="16"/>
          <w:b w:val="1"/>
          <w:bCs w:val="1"/>
          <w:color w:val="auto"/>
        </w:rPr>
        <w:t xml:space="preserve"> </w:t>
      </w:r>
      <w:r>
        <w:rPr>
          <w:rFonts w:ascii="Arial" w:cs="Arial" w:eastAsia="Arial" w:hAnsi="Arial"/>
          <w:sz w:val="16"/>
          <w:szCs w:val="16"/>
          <w:color w:val="auto"/>
        </w:rPr>
        <w:t>member quality, and unit economics.</w:t>
      </w:r>
    </w:p>
    <w:p>
      <w:pPr>
        <w:spacing w:after="0" w:line="196" w:lineRule="exact"/>
        <w:rPr>
          <w:rFonts w:ascii="Arial" w:cs="Arial" w:eastAsia="Arial" w:hAnsi="Arial"/>
          <w:sz w:val="16"/>
          <w:szCs w:val="16"/>
          <w:color w:val="auto"/>
        </w:rPr>
      </w:pPr>
    </w:p>
    <w:p>
      <w:pPr>
        <w:ind w:left="660" w:right="480" w:hanging="328"/>
        <w:spacing w:after="0" w:line="286"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Retention-First Strategy: </w:t>
      </w:r>
      <w:r>
        <w:rPr>
          <w:rFonts w:ascii="Arial" w:cs="Arial" w:eastAsia="Arial" w:hAnsi="Arial"/>
          <w:sz w:val="16"/>
          <w:szCs w:val="16"/>
          <w:color w:val="auto"/>
        </w:rPr>
        <w:t>Reinforcing objective guidance—confirming a member’s current plan when appropriate—protecting the quality and</w:t>
      </w:r>
      <w:r>
        <w:rPr>
          <w:rFonts w:ascii="Arial" w:cs="Arial" w:eastAsia="Arial" w:hAnsi="Arial"/>
          <w:sz w:val="16"/>
          <w:szCs w:val="16"/>
          <w:b w:val="1"/>
          <w:bCs w:val="1"/>
          <w:color w:val="auto"/>
        </w:rPr>
        <w:t xml:space="preserve"> </w:t>
      </w:r>
      <w:r>
        <w:rPr>
          <w:rFonts w:ascii="Arial" w:cs="Arial" w:eastAsia="Arial" w:hAnsi="Arial"/>
          <w:sz w:val="16"/>
          <w:szCs w:val="16"/>
          <w:color w:val="auto"/>
        </w:rPr>
        <w:t>durability of the member base.</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Leadership in Special Needs Plans: </w:t>
      </w:r>
      <w:r>
        <w:rPr>
          <w:rFonts w:ascii="Arial" w:cs="Arial" w:eastAsia="Arial" w:hAnsi="Arial"/>
          <w:sz w:val="16"/>
          <w:szCs w:val="16"/>
          <w:color w:val="auto"/>
        </w:rPr>
        <w:t>Maintaining a leading position in SNP categories where health plans continue to allocate resources.</w:t>
      </w:r>
    </w:p>
    <w:p>
      <w:pPr>
        <w:spacing w:after="0" w:line="248" w:lineRule="exact"/>
        <w:rPr>
          <w:rFonts w:ascii="Arial" w:cs="Arial" w:eastAsia="Arial" w:hAnsi="Arial"/>
          <w:sz w:val="16"/>
          <w:szCs w:val="16"/>
          <w:color w:val="auto"/>
        </w:rPr>
      </w:pPr>
    </w:p>
    <w:p>
      <w:pPr>
        <w:ind w:left="660" w:right="560" w:hanging="328"/>
        <w:spacing w:after="0" w:line="268"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Preserved Strategic Capabilities: </w:t>
      </w:r>
      <w:r>
        <w:rPr>
          <w:rFonts w:ascii="Arial" w:cs="Arial" w:eastAsia="Arial" w:hAnsi="Arial"/>
          <w:sz w:val="16"/>
          <w:szCs w:val="16"/>
          <w:color w:val="auto"/>
        </w:rPr>
        <w:t>Sustaining the core infrastructure required to lead when conditions stabilize, including agent enablement</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retention operations, and back-book value.</w:t>
      </w:r>
    </w:p>
    <w:p>
      <w:pPr>
        <w:spacing w:after="0" w:line="196" w:lineRule="exact"/>
        <w:rPr>
          <w:rFonts w:ascii="Arial" w:cs="Arial" w:eastAsia="Arial" w:hAnsi="Arial"/>
          <w:sz w:val="16"/>
          <w:szCs w:val="16"/>
          <w:color w:val="auto"/>
        </w:rPr>
      </w:pPr>
    </w:p>
    <w:p>
      <w:pPr>
        <w:ind w:left="660" w:right="500" w:hanging="328"/>
        <w:spacing w:after="0" w:line="286"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Strengthened Strategic Flexibility: </w:t>
      </w:r>
      <w:r>
        <w:rPr>
          <w:rFonts w:ascii="Arial" w:cs="Arial" w:eastAsia="Arial" w:hAnsi="Arial"/>
          <w:sz w:val="16"/>
          <w:szCs w:val="16"/>
          <w:color w:val="auto"/>
        </w:rPr>
        <w:t>Secured superpriority term loan facility, received covenant relief, and refreshed the Company’s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to enable potential integration and consolidation opportunities in a fragmented broker landscape.</w:t>
      </w:r>
    </w:p>
    <w:p>
      <w:pPr>
        <w:spacing w:after="0" w:line="183"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“Our pullback over the last two quarters was intentional. The market shifted toward retention, member stability, and disciplined unit economics,” said Vijay Kotte, CEO of GoHealth. “We aligned with that shift by focusing on quality over quantity, reinforcing objective guidance to our members, and protecting the capabilities that matter to us: our high-quality member book, our retention and engagement model, our platform efficiency, and our leadership in Special Needs Plans.”</w:t>
      </w:r>
    </w:p>
    <w:p>
      <w:pPr>
        <w:spacing w:after="0" w:line="210"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“If our assessment of the changing market dynamics proves premature, we believe we have preserved flexibility. But if we had chased projected volume into deteriorating economics, the downside could have been significant and lasting. We believe our discipline protects value in either scenario and positions us to expand and integrate as the market rationalizes.”</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“Our third-quarter performance reflects disciplined execution in an environment where we see health plans prioritizing margin and stability,” said Brendan Shanahan, CFO of GoHealth. “We maintained liquidity, reduced fixed cost, and continued to automate and streamline core parts of the operating model. We believe our balance sheet is stable, our platform remains efficient, and our variable cost structure provides flexibility. We expect to be well-positioned to evaluate and pursue opportunities that create long-term value.”</w:t>
      </w:r>
    </w:p>
    <w:p>
      <w:pPr>
        <w:spacing w:after="0" w:line="218"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Additional information, including with respect to the Company’s preliminary financial results for the three and nine months ended September 30, 2025, is included in the tables at the end of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62"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151D8E"/>
        </w:rPr>
        <w:t>Conference Call Details</w:t>
      </w:r>
    </w:p>
    <w:p>
      <w:pPr>
        <w:spacing w:after="0" w:line="24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Company will host a conference call today, Thursday, November 13, 2025 at 8:00 a.m. (ET) to discuss prioritization of retention, quality, and strategic flexibility. A live audio webcast of the conference call will be available via GoHealth's Investor Relations website, https://investors.gohealth.com/. A replay of the call will be available via webcast for on-demand listening shortly after the completion of the call.</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151D8E"/>
        </w:rPr>
        <w:t>About GoHealth, Inc.</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GoHealth is a leading health insurance marketplace and Medicare-focused digital health company whose purpose is to compassionately ensure consumers’ peace of mind when making healthcare decisions so they can focus on living life. For many of these consumers, enrolling in a health insurance plan is confusing and difficult, and seemingly small differences between health plans may lead to significant out-of-pocket costs or lack of access to critical providers and medicines. GoHealth’s proprietary technology platform leverages modern machine-learning algorithms, powered by over two decades of insurance purchasing behavior, to reimagine the process of matching a health plan to a consumer’s specific needs. Its unbiased, technology-driven marketplace coupled with highly skilled licensed agents has facilitated the enrollment of millions of consumers in Medicare plans since GoHealth’s inception. For more information, visit https://www.gohealth.com.</w:t>
      </w:r>
    </w:p>
    <w:p>
      <w:pPr>
        <w:spacing w:after="0" w:line="3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John Shave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JShave@gohealth.com</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8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151D8E"/>
        </w:rPr>
        <w:t>Forward-Looking Statements</w:t>
      </w:r>
    </w:p>
    <w:p>
      <w:pPr>
        <w:spacing w:after="0" w:line="248"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as amended (the “Exchange Act”). These forward-looking statements are made in reliance upon the safe harbor provision of the Private Securities Litigation Reform Act of 1995. All statements other than statements of historical facts contained in this press release may be forward-looking statements. Statements regarding our liquidity, future results of operations and financial position, business strategy and plans and objectives of management for future operations, including, among others, statements regarding the expected results of the strategic capital and governance actions entered into on August 6, 2025, our pursuit of strategic alternatives and other shifts in our strategy, health plans’ respective decisions related to plan offerings and associated compensation for broker services, our expected growth, future capital expenditures, debt service obligations, future ability to continue as a going concern, adoption and use of artificial intelligence technologies, the impact on our business from regulatory changes, the impact on our business from the acquisition of e-TeleQuote Insurance, Inc. (“e-TeleQuote”) our ability to successfully integrate e-TeleQuote’s operations, technologies and employees into our business, are forward-looking statements.</w:t>
      </w:r>
    </w:p>
    <w:p>
      <w:pPr>
        <w:spacing w:after="0" w:line="209"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The forward-looking statements in this press release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01"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These forward-looking statements speak only as of the date of this press release and are subject to a number of important factors that could cause actual results to differ materially from those in the forward-looking statements, including the factors described in the sections titled “Summary Risk Factors,” “Risk Factors” and “Management’s Discussion and Analysis of Financial Condition and Results of Operations” in our Annual Report on Form 10-K for the fiscal year ended December 31, 2024 (“2024 Annual Report on Form 10-K”), our Quarterly Report on Form 10-Q for the first quarter ended March 31, 2025, our Quarterly Report on Form 10-Q for the second quarter ended June 30, 2025, the forthcoming Quarterly Report on Form 10-Q for the third quarter ended September 30, 2025 and in our other filings with the Securities and Exchange Commission.</w:t>
      </w:r>
    </w:p>
    <w:p>
      <w:pPr>
        <w:spacing w:after="0" w:line="203"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You should read this press release and the documents that we reference in this press release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151D8E"/>
        </w:rPr>
        <w:t>Non-GAAP Financial Measures</w:t>
      </w:r>
    </w:p>
    <w:p>
      <w:pPr>
        <w:spacing w:after="0" w:line="24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Throughout this press release, we use a number of non-GAAP financial measures. Non-GAAP financial measures are supplemental measures of our performance that are derived from our consolidated financial information, but which are not presented in our Condensed Consolidated Financial Statements prepared in accordance with U.S. generally accepted accounting principles (“GAAP”). We define these non-GAAP financial measures as follows:</w:t>
      </w:r>
    </w:p>
    <w:p>
      <w:pPr>
        <w:spacing w:after="0" w:line="205" w:lineRule="exact"/>
        <w:rPr>
          <w:sz w:val="20"/>
          <w:szCs w:val="20"/>
          <w:color w:val="auto"/>
        </w:rPr>
      </w:pPr>
    </w:p>
    <w:p>
      <w:pPr>
        <w:ind w:left="660" w:right="18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represents, as applicable for the period, EBITDA as further adjusted for certain items summarized in the table furnished below</w:t>
      </w:r>
      <w:r>
        <w:rPr>
          <w:rFonts w:ascii="Arial" w:cs="Arial" w:eastAsia="Arial" w:hAnsi="Arial"/>
          <w:sz w:val="16"/>
          <w:szCs w:val="16"/>
          <w:i w:val="1"/>
          <w:iCs w:val="1"/>
          <w:color w:val="auto"/>
        </w:rPr>
        <w:t xml:space="preserve"> </w:t>
      </w:r>
      <w:r>
        <w:rPr>
          <w:rFonts w:ascii="Arial" w:cs="Arial" w:eastAsia="Arial" w:hAnsi="Arial"/>
          <w:sz w:val="16"/>
          <w:szCs w:val="16"/>
          <w:color w:val="auto"/>
        </w:rPr>
        <w:t>in this press release.</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“Adjusted EBITDA Margin” </w:t>
      </w:r>
      <w:r>
        <w:rPr>
          <w:rFonts w:ascii="Arial" w:cs="Arial" w:eastAsia="Arial" w:hAnsi="Arial"/>
          <w:sz w:val="16"/>
          <w:szCs w:val="16"/>
          <w:color w:val="auto"/>
        </w:rPr>
        <w:t>refers to Adjusted EBITDA divided by net revenues.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represents net income (loss) before interest expense, income tax expense (benefit) and depreciation and amortization expense.</w:t>
      </w:r>
    </w:p>
    <w:p>
      <w:pPr>
        <w:spacing w:after="0" w:line="24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the primary financial performance measure used by management to evaluate the business and monitor the results of operations, as well as a basis for certain compensation programs sponsored by the Company.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016" w:right="339" w:bottom="1440" w:gutter="0" w:footer="0" w:header="0"/>
        </w:sectPr>
      </w:pPr>
    </w:p>
    <w:bookmarkStart w:id="5" w:name="page6"/>
    <w:bookmarkEnd w:id="5"/>
    <w:p>
      <w:pPr>
        <w:ind w:right="60"/>
        <w:spacing w:after="0" w:line="261"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the most directly comparable financial measures prepared in accordance with GAAP and should be read only in conjunction with financial information presented on a GAAP basis. Reconciliations of each of EBITDA, Adjusted EBITDA and Adjusted EBITDA Margin to its most directly comparable GAAP financial measure are presented in the tables furnished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151D8E"/>
        </w:rPr>
        <w:t>Key Business Performance and Operating Metrics</w:t>
      </w:r>
    </w:p>
    <w:p>
      <w:pPr>
        <w:spacing w:after="0" w:line="262"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The most relevant business and operating metrics are as follows:</w:t>
      </w:r>
    </w:p>
    <w:p>
      <w:pPr>
        <w:spacing w:after="0" w:line="196" w:lineRule="exact"/>
        <w:rPr>
          <w:sz w:val="20"/>
          <w:szCs w:val="20"/>
          <w:color w:val="auto"/>
        </w:rPr>
      </w:pPr>
    </w:p>
    <w:p>
      <w:pPr>
        <w:ind w:left="660" w:right="40" w:hanging="328"/>
        <w:spacing w:after="0" w:line="26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“Direct Operating Cost of Submission” </w:t>
      </w:r>
      <w:r>
        <w:rPr>
          <w:rFonts w:ascii="Arial" w:cs="Arial" w:eastAsia="Arial" w:hAnsi="Arial"/>
          <w:sz w:val="16"/>
          <w:szCs w:val="16"/>
          <w:color w:val="auto"/>
        </w:rPr>
        <w:t>is an operating metric that represents costs directly attributable to Submissions generated during a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and excludes costs that are indirect or fixed. Direct Operating Cost of Submission is comprised of the portion of the respective operating expenses for revenue share, marketing and advertising and consumer care and enrollment that are directly related to the Submissions generated in the reporting period.</w:t>
      </w:r>
    </w:p>
    <w:p>
      <w:pPr>
        <w:spacing w:after="0" w:line="199" w:lineRule="exact"/>
        <w:rPr>
          <w:rFonts w:ascii="Arial" w:cs="Arial" w:eastAsia="Arial" w:hAnsi="Arial"/>
          <w:sz w:val="16"/>
          <w:szCs w:val="16"/>
          <w:color w:val="auto"/>
        </w:rPr>
      </w:pPr>
    </w:p>
    <w:p>
      <w:pPr>
        <w:ind w:left="660" w:right="280" w:hanging="328"/>
        <w:spacing w:after="0" w:line="27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“Direct Operating Cost per Submission” </w:t>
      </w:r>
      <w:r>
        <w:rPr>
          <w:rFonts w:ascii="Arial" w:cs="Arial" w:eastAsia="Arial" w:hAnsi="Arial"/>
          <w:sz w:val="16"/>
          <w:szCs w:val="16"/>
          <w:color w:val="auto"/>
        </w:rPr>
        <w:t>is an operating metric that represents the average performance of Submissions generated during a</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period. Direct Operating Cost per Submission refers to (x) Direct Operating Cost of Submission for a reporting period divided by (y) the number of Submissions generated for such period.</w:t>
      </w:r>
    </w:p>
    <w:p>
      <w:pPr>
        <w:spacing w:after="0" w:line="191" w:lineRule="exact"/>
        <w:rPr>
          <w:rFonts w:ascii="Arial" w:cs="Arial" w:eastAsia="Arial" w:hAnsi="Arial"/>
          <w:sz w:val="16"/>
          <w:szCs w:val="16"/>
          <w:color w:val="auto"/>
        </w:rPr>
      </w:pPr>
    </w:p>
    <w:p>
      <w:pPr>
        <w:ind w:left="660" w:right="700" w:hanging="328"/>
        <w:spacing w:after="0" w:line="304"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“Sales/Direct Operating Cost of Submission” </w:t>
      </w:r>
      <w:r>
        <w:rPr>
          <w:rFonts w:ascii="Arial" w:cs="Arial" w:eastAsia="Arial" w:hAnsi="Arial"/>
          <w:sz w:val="16"/>
          <w:szCs w:val="16"/>
          <w:color w:val="auto"/>
        </w:rPr>
        <w:t>represents (x) the numerator of Sales per Submission, as defined below, divided by (y) Direct</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Cost of Submission.</w:t>
      </w:r>
    </w:p>
    <w:p>
      <w:pPr>
        <w:spacing w:after="0" w:line="168" w:lineRule="exact"/>
        <w:rPr>
          <w:rFonts w:ascii="Arial" w:cs="Arial" w:eastAsia="Arial" w:hAnsi="Arial"/>
          <w:sz w:val="16"/>
          <w:szCs w:val="16"/>
          <w:color w:val="auto"/>
        </w:rPr>
      </w:pPr>
    </w:p>
    <w:p>
      <w:pPr>
        <w:ind w:left="660" w:right="20" w:hanging="328"/>
        <w:spacing w:after="0" w:line="259"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“Sales per Submission” </w:t>
      </w:r>
      <w:r>
        <w:rPr>
          <w:rFonts w:ascii="Arial" w:cs="Arial" w:eastAsia="Arial" w:hAnsi="Arial"/>
          <w:sz w:val="16"/>
          <w:szCs w:val="16"/>
          <w:color w:val="auto"/>
        </w:rPr>
        <w:t>is an operating metric that represents the average performance of Submissions generated during a reporting period. Sales</w:t>
      </w:r>
      <w:r>
        <w:rPr>
          <w:rFonts w:ascii="Arial" w:cs="Arial" w:eastAsia="Arial" w:hAnsi="Arial"/>
          <w:sz w:val="16"/>
          <w:szCs w:val="16"/>
          <w:i w:val="1"/>
          <w:iCs w:val="1"/>
          <w:color w:val="auto"/>
        </w:rPr>
        <w:t xml:space="preserve"> </w:t>
      </w:r>
      <w:r>
        <w:rPr>
          <w:rFonts w:ascii="Arial" w:cs="Arial" w:eastAsia="Arial" w:hAnsi="Arial"/>
          <w:sz w:val="16"/>
          <w:szCs w:val="16"/>
          <w:color w:val="auto"/>
        </w:rPr>
        <w:t>per Submission measures revenues only from the Submissions generated in the period and excludes items that are unrelated to such Submissions, including any impact of revenue adjustments recorded in the period, but relating to performance obligations satisfied in prior periods. Sales per Submission equals (x) the sum of (i) Medicare agency revenues, comprised of the expected amount of initial commission revenue and any renewal commissions to be paid from the health plan partners on such placement as long as the policyholder remains with the same insurance product, as well as partner marketing and other revenue, (ii) Medicare non-agency revenues, comprised of the enrollment and engagement services for which cash is collected in advance or in close proximity to the point in time revenue is recognized, and (iii) revenues from GoHealth Protect, divided by (y) the number of Submissions generated for such period.</w:t>
      </w:r>
    </w:p>
    <w:p>
      <w:pPr>
        <w:spacing w:after="0" w:line="207" w:lineRule="exact"/>
        <w:rPr>
          <w:rFonts w:ascii="Arial" w:cs="Arial" w:eastAsia="Arial" w:hAnsi="Arial"/>
          <w:sz w:val="16"/>
          <w:szCs w:val="16"/>
          <w:color w:val="auto"/>
        </w:rPr>
      </w:pPr>
    </w:p>
    <w:p>
      <w:pPr>
        <w:ind w:left="660" w:right="80" w:hanging="328"/>
        <w:spacing w:after="0" w:line="26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“Submission” </w:t>
      </w:r>
      <w:r>
        <w:rPr>
          <w:rFonts w:ascii="Arial" w:cs="Arial" w:eastAsia="Arial" w:hAnsi="Arial"/>
          <w:sz w:val="16"/>
          <w:szCs w:val="16"/>
          <w:color w:val="auto"/>
        </w:rPr>
        <w:t>refers to either (i) a completed Medicare application with our licensed agent that is submitted to the health plan partner and</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subsequently approved by the health plan partner during the indicated period, (ii) a transfer by our agent to the health plan partner through the Encompass operating model during the indicated period, or (iii) a completed GoHealth Protect application with our licensed agent that is submitted, approved by the health plan partner, and for which the payment information was received by the health plan partner during the indicated period.</w:t>
      </w:r>
    </w:p>
    <w:p>
      <w:pPr>
        <w:spacing w:after="0" w:line="213"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Direct Operating Cost of Submission, Direct Operating Cost per Submission, Sales/Direct Operating Cost of Submission, Sales per Submission and Submissions are key operating metrics we use to understand our underlying financial performance and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773"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6"/>
          </w:tcPr>
          <w:p>
            <w:pPr>
              <w:jc w:val="right"/>
              <w:ind w:right="340"/>
              <w:spacing w:after="0"/>
              <w:rPr>
                <w:sz w:val="20"/>
                <w:szCs w:val="20"/>
                <w:color w:val="auto"/>
              </w:rPr>
            </w:pPr>
            <w:r>
              <w:rPr>
                <w:rFonts w:ascii="Arial" w:cs="Arial" w:eastAsia="Arial" w:hAnsi="Arial"/>
                <w:sz w:val="14"/>
                <w:szCs w:val="14"/>
                <w:color w:val="auto"/>
              </w:rPr>
              <w:t>Three months ended Sep. 30,</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80" w:type="dxa"/>
            <w:vAlign w:val="bottom"/>
          </w:tcPr>
          <w:p>
            <w:pPr>
              <w:spacing w:after="0"/>
              <w:rPr>
                <w:sz w:val="16"/>
                <w:szCs w:val="16"/>
                <w:color w:val="auto"/>
              </w:rPr>
            </w:pPr>
          </w:p>
        </w:tc>
        <w:tc>
          <w:tcPr>
            <w:tcW w:w="80" w:type="dxa"/>
            <w:vAlign w:val="bottom"/>
            <w:tcBorders>
              <w:bottom w:val="single" w:sz="8" w:color="B6B6B6"/>
            </w:tcBorders>
            <w:shd w:val="clear" w:color="auto" w:fill="B6B6B6"/>
          </w:tcPr>
          <w:p>
            <w:pPr>
              <w:spacing w:after="0"/>
              <w:rPr>
                <w:sz w:val="16"/>
                <w:szCs w:val="16"/>
                <w:color w:val="auto"/>
              </w:rPr>
            </w:pPr>
          </w:p>
        </w:tc>
        <w:tc>
          <w:tcPr>
            <w:tcW w:w="160" w:type="dxa"/>
            <w:vAlign w:val="bottom"/>
            <w:tcBorders>
              <w:bottom w:val="single" w:sz="8" w:color="929292"/>
            </w:tcBorders>
          </w:tcPr>
          <w:p>
            <w:pPr>
              <w:spacing w:after="0"/>
              <w:rPr>
                <w:sz w:val="16"/>
                <w:szCs w:val="16"/>
                <w:color w:val="auto"/>
              </w:rPr>
            </w:pPr>
          </w:p>
        </w:tc>
        <w:tc>
          <w:tcPr>
            <w:tcW w:w="1980" w:type="dxa"/>
            <w:vAlign w:val="bottom"/>
            <w:tcBorders>
              <w:bottom w:val="single" w:sz="8" w:color="929292"/>
            </w:tcBorders>
            <w:gridSpan w:val="3"/>
          </w:tcPr>
          <w:p>
            <w:pPr>
              <w:jc w:val="right"/>
              <w:ind w:right="82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160" w:type="dxa"/>
            <w:vAlign w:val="bottom"/>
            <w:tcBorders>
              <w:bottom w:val="single" w:sz="8" w:color="929292"/>
            </w:tcBorders>
          </w:tcPr>
          <w:p>
            <w:pPr>
              <w:spacing w:after="0"/>
              <w:rPr>
                <w:sz w:val="16"/>
                <w:szCs w:val="16"/>
                <w:color w:val="auto"/>
              </w:rPr>
            </w:pPr>
          </w:p>
        </w:tc>
        <w:tc>
          <w:tcPr>
            <w:tcW w:w="1080" w:type="dxa"/>
            <w:vAlign w:val="bottom"/>
            <w:tcBorders>
              <w:bottom w:val="single" w:sz="8" w:color="929292"/>
            </w:tcBorders>
            <w:gridSpan w:val="3"/>
          </w:tcPr>
          <w:p>
            <w:pPr>
              <w:jc w:val="right"/>
              <w:ind w:right="20"/>
              <w:spacing w:after="0"/>
              <w:rPr>
                <w:sz w:val="20"/>
                <w:szCs w:val="20"/>
                <w:color w:val="auto"/>
              </w:rPr>
            </w:pPr>
            <w:r>
              <w:rPr>
                <w:rFonts w:ascii="Arial" w:cs="Arial" w:eastAsia="Arial" w:hAnsi="Arial"/>
                <w:sz w:val="14"/>
                <w:szCs w:val="14"/>
                <w:color w:val="auto"/>
              </w:rPr>
              <w:t>2024</w:t>
            </w:r>
          </w:p>
        </w:tc>
        <w:tc>
          <w:tcPr>
            <w:tcW w:w="880" w:type="dxa"/>
            <w:vAlign w:val="bottom"/>
            <w:tcBorders>
              <w:bottom w:val="single" w:sz="8" w:color="929292"/>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58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 and per share amounts)</w:t>
            </w:r>
          </w:p>
        </w:tc>
        <w:tc>
          <w:tcPr>
            <w:tcW w:w="80" w:type="dxa"/>
            <w:vAlign w:val="bottom"/>
            <w:shd w:val="clear" w:color="auto" w:fill="B6B6B6"/>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color w:val="auto"/>
              </w:rPr>
              <w:t>Dollars</w:t>
            </w:r>
          </w:p>
        </w:tc>
        <w:tc>
          <w:tcPr>
            <w:tcW w:w="1160" w:type="dxa"/>
            <w:vAlign w:val="bottom"/>
            <w:gridSpan w:val="2"/>
          </w:tcPr>
          <w:p>
            <w:pPr>
              <w:jc w:val="center"/>
              <w:ind w:right="120"/>
              <w:spacing w:after="0" w:line="151" w:lineRule="exact"/>
              <w:rPr>
                <w:sz w:val="20"/>
                <w:szCs w:val="20"/>
                <w:color w:val="auto"/>
              </w:rPr>
            </w:pPr>
            <w:r>
              <w:rPr>
                <w:rFonts w:ascii="Arial" w:cs="Arial" w:eastAsia="Arial" w:hAnsi="Arial"/>
                <w:sz w:val="14"/>
                <w:szCs w:val="14"/>
                <w:color w:val="auto"/>
              </w:rPr>
              <w:t>% of Net</w:t>
            </w:r>
          </w:p>
        </w:tc>
        <w:tc>
          <w:tcPr>
            <w:tcW w:w="160" w:type="dxa"/>
            <w:vAlign w:val="bottom"/>
          </w:tcPr>
          <w:p>
            <w:pPr>
              <w:spacing w:after="0"/>
              <w:rPr>
                <w:sz w:val="13"/>
                <w:szCs w:val="13"/>
                <w:color w:val="auto"/>
              </w:rPr>
            </w:pPr>
          </w:p>
        </w:tc>
        <w:tc>
          <w:tcPr>
            <w:tcW w:w="1080" w:type="dxa"/>
            <w:vAlign w:val="bottom"/>
            <w:gridSpan w:val="3"/>
            <w:vMerge w:val="restart"/>
          </w:tcPr>
          <w:p>
            <w:pPr>
              <w:jc w:val="right"/>
              <w:ind w:right="540"/>
              <w:spacing w:after="0"/>
              <w:rPr>
                <w:sz w:val="20"/>
                <w:szCs w:val="20"/>
                <w:color w:val="auto"/>
              </w:rPr>
            </w:pPr>
            <w:r>
              <w:rPr>
                <w:rFonts w:ascii="Arial" w:cs="Arial" w:eastAsia="Arial" w:hAnsi="Arial"/>
                <w:sz w:val="14"/>
                <w:szCs w:val="14"/>
                <w:color w:val="auto"/>
              </w:rPr>
              <w:t>Dollars</w:t>
            </w:r>
          </w:p>
        </w:tc>
        <w:tc>
          <w:tcPr>
            <w:tcW w:w="960" w:type="dxa"/>
            <w:vAlign w:val="bottom"/>
            <w:gridSpan w:val="2"/>
          </w:tcPr>
          <w:p>
            <w:pPr>
              <w:jc w:val="center"/>
              <w:ind w:right="280"/>
              <w:spacing w:after="0" w:line="151" w:lineRule="exact"/>
              <w:rPr>
                <w:sz w:val="20"/>
                <w:szCs w:val="20"/>
                <w:color w:val="auto"/>
              </w:rPr>
            </w:pPr>
            <w:r>
              <w:rPr>
                <w:rFonts w:ascii="Arial" w:cs="Arial" w:eastAsia="Arial" w:hAnsi="Arial"/>
                <w:sz w:val="14"/>
                <w:szCs w:val="14"/>
                <w:color w:val="auto"/>
              </w:rPr>
              <w:t>% of Net</w:t>
            </w:r>
          </w:p>
        </w:tc>
        <w:tc>
          <w:tcPr>
            <w:tcW w:w="14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rPr>
              <w:t>$ Change</w:t>
            </w: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85"/>
        </w:trPr>
        <w:tc>
          <w:tcPr>
            <w:tcW w:w="4580" w:type="dxa"/>
            <w:vAlign w:val="bottom"/>
            <w:vMerge w:val="continue"/>
          </w:tcPr>
          <w:p>
            <w:pPr>
              <w:spacing w:after="0"/>
              <w:rPr>
                <w:sz w:val="16"/>
                <w:szCs w:val="16"/>
                <w:color w:val="auto"/>
              </w:rPr>
            </w:pPr>
          </w:p>
        </w:tc>
        <w:tc>
          <w:tcPr>
            <w:tcW w:w="80" w:type="dxa"/>
            <w:vAlign w:val="bottom"/>
            <w:shd w:val="clear" w:color="auto" w:fill="B6B6B6"/>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rPr>
              <w:t>Revenues</w:t>
            </w:r>
          </w:p>
        </w:tc>
        <w:tc>
          <w:tcPr>
            <w:tcW w:w="16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rPr>
              <w:t>Revenues</w:t>
            </w: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Borders>
              <w:top w:val="single" w:sz="8" w:color="929292"/>
            </w:tcBorders>
          </w:tcPr>
          <w:p>
            <w:pPr>
              <w:ind w:left="20"/>
              <w:spacing w:after="0"/>
              <w:rPr>
                <w:sz w:val="20"/>
                <w:szCs w:val="20"/>
                <w:color w:val="auto"/>
              </w:rPr>
            </w:pPr>
            <w:r>
              <w:rPr>
                <w:rFonts w:ascii="Arial" w:cs="Arial" w:eastAsia="Arial" w:hAnsi="Arial"/>
                <w:sz w:val="14"/>
                <w:szCs w:val="14"/>
                <w:color w:val="auto"/>
              </w:rPr>
              <w:t>Net revenues</w:t>
            </w:r>
          </w:p>
        </w:tc>
        <w:tc>
          <w:tcPr>
            <w:tcW w:w="80" w:type="dxa"/>
            <w:vAlign w:val="bottom"/>
            <w:tcBorders>
              <w:top w:val="single" w:sz="8" w:color="B6B6B6"/>
              <w:bottom w:val="single" w:sz="8" w:color="B6B6B6"/>
            </w:tcBorders>
            <w:shd w:val="clear" w:color="auto" w:fill="B6B6B6"/>
          </w:tcPr>
          <w:p>
            <w:pPr>
              <w:spacing w:after="0"/>
              <w:rPr>
                <w:sz w:val="16"/>
                <w:szCs w:val="16"/>
                <w:color w:val="auto"/>
              </w:rPr>
            </w:pPr>
          </w:p>
        </w:tc>
        <w:tc>
          <w:tcPr>
            <w:tcW w:w="16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34,186</w:t>
            </w:r>
          </w:p>
        </w:tc>
        <w:tc>
          <w:tcPr>
            <w:tcW w:w="100" w:type="dxa"/>
            <w:vAlign w:val="bottom"/>
          </w:tcPr>
          <w:p>
            <w:pPr>
              <w:spacing w:after="0"/>
              <w:rPr>
                <w:sz w:val="16"/>
                <w:szCs w:val="16"/>
                <w:color w:val="auto"/>
              </w:rPr>
            </w:pPr>
          </w:p>
        </w:tc>
        <w:tc>
          <w:tcPr>
            <w:tcW w:w="106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6"/>
                <w:szCs w:val="16"/>
                <w:color w:val="auto"/>
              </w:rPr>
            </w:pPr>
          </w:p>
        </w:tc>
        <w:tc>
          <w:tcPr>
            <w:tcW w:w="16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929292"/>
              <w:bottom w:val="single" w:sz="8" w:color="929292"/>
            </w:tcBorders>
          </w:tcPr>
          <w:p>
            <w:pPr>
              <w:jc w:val="right"/>
              <w:ind w:right="8"/>
              <w:spacing w:after="0"/>
              <w:rPr>
                <w:sz w:val="20"/>
                <w:szCs w:val="20"/>
                <w:color w:val="auto"/>
              </w:rPr>
            </w:pPr>
            <w:r>
              <w:rPr>
                <w:rFonts w:ascii="Arial" w:cs="Arial" w:eastAsia="Arial" w:hAnsi="Arial"/>
                <w:sz w:val="14"/>
                <w:szCs w:val="14"/>
                <w:color w:val="auto"/>
              </w:rPr>
              <w:t>118,292</w:t>
            </w:r>
          </w:p>
        </w:tc>
        <w:tc>
          <w:tcPr>
            <w:tcW w:w="80" w:type="dxa"/>
            <w:vAlign w:val="bottom"/>
          </w:tcPr>
          <w:p>
            <w:pPr>
              <w:spacing w:after="0"/>
              <w:rPr>
                <w:sz w:val="16"/>
                <w:szCs w:val="16"/>
                <w:color w:val="auto"/>
              </w:rPr>
            </w:pPr>
          </w:p>
        </w:tc>
        <w:tc>
          <w:tcPr>
            <w:tcW w:w="200" w:type="dxa"/>
            <w:vAlign w:val="bottom"/>
            <w:tcBorders>
              <w:top w:val="single" w:sz="8" w:color="929292"/>
              <w:bottom w:val="single" w:sz="8" w:color="929292"/>
            </w:tcBorders>
          </w:tcPr>
          <w:p>
            <w:pPr>
              <w:spacing w:after="0"/>
              <w:rPr>
                <w:sz w:val="16"/>
                <w:szCs w:val="16"/>
                <w:color w:val="auto"/>
              </w:rPr>
            </w:pPr>
          </w:p>
        </w:tc>
        <w:tc>
          <w:tcPr>
            <w:tcW w:w="88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6"/>
                <w:szCs w:val="16"/>
                <w:color w:val="auto"/>
              </w:rPr>
            </w:pPr>
          </w:p>
        </w:tc>
        <w:tc>
          <w:tcPr>
            <w:tcW w:w="14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(84,106)</w:t>
            </w:r>
          </w:p>
        </w:tc>
        <w:tc>
          <w:tcPr>
            <w:tcW w:w="100" w:type="dxa"/>
            <w:vAlign w:val="bottom"/>
          </w:tcPr>
          <w:p>
            <w:pPr>
              <w:spacing w:after="0"/>
              <w:rPr>
                <w:sz w:val="16"/>
                <w:szCs w:val="16"/>
                <w:color w:val="auto"/>
              </w:rPr>
            </w:pPr>
          </w:p>
        </w:tc>
        <w:tc>
          <w:tcPr>
            <w:tcW w:w="106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181"/>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80" w:type="dxa"/>
            <w:vAlign w:val="bottom"/>
            <w:shd w:val="clear" w:color="auto" w:fill="B6B6B6"/>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240"/>
              <w:spacing w:after="0"/>
              <w:rPr>
                <w:sz w:val="20"/>
                <w:szCs w:val="20"/>
                <w:color w:val="auto"/>
              </w:rPr>
            </w:pPr>
            <w:r>
              <w:rPr>
                <w:rFonts w:ascii="Arial" w:cs="Arial" w:eastAsia="Arial" w:hAnsi="Arial"/>
                <w:sz w:val="14"/>
                <w:szCs w:val="14"/>
                <w:color w:val="auto"/>
              </w:rPr>
              <w:t>Revenue share</w:t>
            </w:r>
          </w:p>
        </w:tc>
        <w:tc>
          <w:tcPr>
            <w:tcW w:w="8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20,095</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19,683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16.6 %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203"/>
        </w:trPr>
        <w:tc>
          <w:tcPr>
            <w:tcW w:w="4580" w:type="dxa"/>
            <w:vAlign w:val="bottom"/>
          </w:tcPr>
          <w:p>
            <w:pPr>
              <w:ind w:left="240"/>
              <w:spacing w:after="0"/>
              <w:rPr>
                <w:sz w:val="20"/>
                <w:szCs w:val="20"/>
                <w:color w:val="auto"/>
              </w:rPr>
            </w:pPr>
            <w:r>
              <w:rPr>
                <w:rFonts w:ascii="Arial" w:cs="Arial" w:eastAsia="Arial" w:hAnsi="Arial"/>
                <w:sz w:val="14"/>
                <w:szCs w:val="14"/>
                <w:color w:val="auto"/>
              </w:rPr>
              <w:t>Marketing and advertising</w:t>
            </w:r>
          </w:p>
        </w:tc>
        <w:tc>
          <w:tcPr>
            <w:tcW w:w="8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17,471</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45,270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38.3 %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(27,799)</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03"/>
        </w:trPr>
        <w:tc>
          <w:tcPr>
            <w:tcW w:w="4580" w:type="dxa"/>
            <w:vAlign w:val="bottom"/>
          </w:tcPr>
          <w:p>
            <w:pPr>
              <w:ind w:left="240"/>
              <w:spacing w:after="0"/>
              <w:rPr>
                <w:sz w:val="20"/>
                <w:szCs w:val="20"/>
                <w:color w:val="auto"/>
              </w:rPr>
            </w:pPr>
            <w:r>
              <w:rPr>
                <w:rFonts w:ascii="Arial" w:cs="Arial" w:eastAsia="Arial" w:hAnsi="Arial"/>
                <w:sz w:val="14"/>
                <w:szCs w:val="14"/>
                <w:color w:val="auto"/>
              </w:rPr>
              <w:t>Consumer care and enrollment</w:t>
            </w:r>
          </w:p>
        </w:tc>
        <w:tc>
          <w:tcPr>
            <w:tcW w:w="8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17,201</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45,556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38.5 %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(28,355)</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03"/>
        </w:trPr>
        <w:tc>
          <w:tcPr>
            <w:tcW w:w="4580" w:type="dxa"/>
            <w:vAlign w:val="bottom"/>
          </w:tcPr>
          <w:p>
            <w:pPr>
              <w:ind w:left="240"/>
              <w:spacing w:after="0"/>
              <w:rPr>
                <w:sz w:val="20"/>
                <w:szCs w:val="20"/>
                <w:color w:val="auto"/>
              </w:rPr>
            </w:pPr>
            <w:r>
              <w:rPr>
                <w:rFonts w:ascii="Arial" w:cs="Arial" w:eastAsia="Arial" w:hAnsi="Arial"/>
                <w:sz w:val="14"/>
                <w:szCs w:val="14"/>
                <w:color w:val="auto"/>
              </w:rPr>
              <w:t>Technology</w:t>
            </w:r>
          </w:p>
        </w:tc>
        <w:tc>
          <w:tcPr>
            <w:tcW w:w="8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9,970</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29.2 %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9,801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203"/>
        </w:trPr>
        <w:tc>
          <w:tcPr>
            <w:tcW w:w="458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27,689</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81.0 %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17,140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14.5 %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10,549</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61.5 %</w:t>
            </w:r>
          </w:p>
        </w:tc>
        <w:tc>
          <w:tcPr>
            <w:tcW w:w="0" w:type="dxa"/>
            <w:vAlign w:val="bottom"/>
          </w:tcPr>
          <w:p>
            <w:pPr>
              <w:spacing w:after="0"/>
              <w:rPr>
                <w:sz w:val="1"/>
                <w:szCs w:val="1"/>
                <w:color w:val="auto"/>
              </w:rPr>
            </w:pPr>
          </w:p>
        </w:tc>
      </w:tr>
      <w:tr>
        <w:trPr>
          <w:trHeight w:val="203"/>
        </w:trPr>
        <w:tc>
          <w:tcPr>
            <w:tcW w:w="458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8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23,514</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23,514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4"/>
        </w:trPr>
        <w:tc>
          <w:tcPr>
            <w:tcW w:w="4580" w:type="dxa"/>
            <w:vAlign w:val="bottom"/>
          </w:tcPr>
          <w:p>
            <w:pPr>
              <w:ind w:left="240"/>
              <w:spacing w:after="0"/>
              <w:rPr>
                <w:sz w:val="20"/>
                <w:szCs w:val="20"/>
                <w:color w:val="auto"/>
              </w:rPr>
            </w:pPr>
            <w:r>
              <w:rPr>
                <w:rFonts w:ascii="Arial" w:cs="Arial" w:eastAsia="Arial" w:hAnsi="Arial"/>
                <w:sz w:val="14"/>
                <w:szCs w:val="14"/>
                <w:color w:val="auto"/>
              </w:rPr>
              <w:t>Indefinite and long-lived asset impairment charges</w:t>
            </w:r>
          </w:p>
        </w:tc>
        <w:tc>
          <w:tcPr>
            <w:tcW w:w="8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206,163</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603.1 %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206,163</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NM</w:t>
            </w:r>
          </w:p>
        </w:tc>
        <w:tc>
          <w:tcPr>
            <w:tcW w:w="0" w:type="dxa"/>
            <w:vAlign w:val="bottom"/>
          </w:tcPr>
          <w:p>
            <w:pPr>
              <w:spacing w:after="0"/>
              <w:rPr>
                <w:sz w:val="1"/>
                <w:szCs w:val="1"/>
                <w:color w:val="auto"/>
              </w:rPr>
            </w:pPr>
          </w:p>
        </w:tc>
      </w:tr>
      <w:tr>
        <w:trPr>
          <w:trHeight w:val="196"/>
        </w:trPr>
        <w:tc>
          <w:tcPr>
            <w:tcW w:w="458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80" w:type="dxa"/>
            <w:vAlign w:val="bottom"/>
            <w:tcBorders>
              <w:top w:val="single" w:sz="8" w:color="B6B6B6"/>
              <w:bottom w:val="single" w:sz="8" w:color="B6B6B6"/>
            </w:tcBorders>
            <w:shd w:val="clear" w:color="auto" w:fill="B6B6B6"/>
          </w:tcPr>
          <w:p>
            <w:pPr>
              <w:spacing w:after="0"/>
              <w:rPr>
                <w:sz w:val="17"/>
                <w:szCs w:val="17"/>
                <w:color w:val="auto"/>
              </w:rPr>
            </w:pPr>
          </w:p>
        </w:tc>
        <w:tc>
          <w:tcPr>
            <w:tcW w:w="160" w:type="dxa"/>
            <w:vAlign w:val="bottom"/>
            <w:tcBorders>
              <w:top w:val="single" w:sz="8" w:color="929292"/>
              <w:bottom w:val="single" w:sz="8" w:color="929292"/>
            </w:tcBorders>
          </w:tcPr>
          <w:p>
            <w:pPr>
              <w:spacing w:after="0"/>
              <w:rPr>
                <w:sz w:val="17"/>
                <w:szCs w:val="17"/>
                <w:color w:val="auto"/>
              </w:rPr>
            </w:pPr>
          </w:p>
        </w:tc>
        <w:tc>
          <w:tcPr>
            <w:tcW w:w="82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322,103</w:t>
            </w:r>
          </w:p>
        </w:tc>
        <w:tc>
          <w:tcPr>
            <w:tcW w:w="100" w:type="dxa"/>
            <w:vAlign w:val="bottom"/>
          </w:tcPr>
          <w:p>
            <w:pPr>
              <w:spacing w:after="0"/>
              <w:rPr>
                <w:sz w:val="17"/>
                <w:szCs w:val="17"/>
                <w:color w:val="auto"/>
              </w:rPr>
            </w:pPr>
          </w:p>
        </w:tc>
        <w:tc>
          <w:tcPr>
            <w:tcW w:w="106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942.2 %</w:t>
            </w:r>
          </w:p>
        </w:tc>
        <w:tc>
          <w:tcPr>
            <w:tcW w:w="100" w:type="dxa"/>
            <w:vAlign w:val="bottom"/>
          </w:tcPr>
          <w:p>
            <w:pPr>
              <w:spacing w:after="0"/>
              <w:rPr>
                <w:sz w:val="17"/>
                <w:szCs w:val="17"/>
                <w:color w:val="auto"/>
              </w:rPr>
            </w:pPr>
          </w:p>
        </w:tc>
        <w:tc>
          <w:tcPr>
            <w:tcW w:w="160" w:type="dxa"/>
            <w:vAlign w:val="bottom"/>
            <w:tcBorders>
              <w:top w:val="single" w:sz="8" w:color="929292"/>
              <w:bottom w:val="single" w:sz="8" w:color="929292"/>
            </w:tcBorders>
          </w:tcPr>
          <w:p>
            <w:pPr>
              <w:spacing w:after="0"/>
              <w:rPr>
                <w:sz w:val="17"/>
                <w:szCs w:val="17"/>
                <w:color w:val="auto"/>
              </w:rPr>
            </w:pPr>
          </w:p>
        </w:tc>
        <w:tc>
          <w:tcPr>
            <w:tcW w:w="800" w:type="dxa"/>
            <w:vAlign w:val="bottom"/>
            <w:tcBorders>
              <w:top w:val="single" w:sz="8" w:color="929292"/>
              <w:bottom w:val="single" w:sz="8" w:color="929292"/>
            </w:tcBorders>
          </w:tcPr>
          <w:p>
            <w:pPr>
              <w:jc w:val="right"/>
              <w:ind w:right="8"/>
              <w:spacing w:after="0"/>
              <w:rPr>
                <w:sz w:val="20"/>
                <w:szCs w:val="20"/>
                <w:color w:val="auto"/>
              </w:rPr>
            </w:pPr>
            <w:r>
              <w:rPr>
                <w:rFonts w:ascii="Arial" w:cs="Arial" w:eastAsia="Arial" w:hAnsi="Arial"/>
                <w:sz w:val="14"/>
                <w:szCs w:val="14"/>
                <w:color w:val="auto"/>
              </w:rPr>
              <w:t>160,964</w:t>
            </w:r>
          </w:p>
        </w:tc>
        <w:tc>
          <w:tcPr>
            <w:tcW w:w="80" w:type="dxa"/>
            <w:vAlign w:val="bottom"/>
          </w:tcPr>
          <w:p>
            <w:pPr>
              <w:spacing w:after="0"/>
              <w:rPr>
                <w:sz w:val="17"/>
                <w:szCs w:val="17"/>
                <w:color w:val="auto"/>
              </w:rPr>
            </w:pPr>
          </w:p>
        </w:tc>
        <w:tc>
          <w:tcPr>
            <w:tcW w:w="200" w:type="dxa"/>
            <w:vAlign w:val="bottom"/>
            <w:tcBorders>
              <w:top w:val="single" w:sz="8" w:color="929292"/>
              <w:bottom w:val="single" w:sz="8" w:color="929292"/>
            </w:tcBorders>
          </w:tcPr>
          <w:p>
            <w:pPr>
              <w:spacing w:after="0"/>
              <w:rPr>
                <w:sz w:val="17"/>
                <w:szCs w:val="17"/>
                <w:color w:val="auto"/>
              </w:rPr>
            </w:pPr>
          </w:p>
        </w:tc>
        <w:tc>
          <w:tcPr>
            <w:tcW w:w="88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136.1 %</w:t>
            </w:r>
          </w:p>
        </w:tc>
        <w:tc>
          <w:tcPr>
            <w:tcW w:w="80" w:type="dxa"/>
            <w:vAlign w:val="bottom"/>
          </w:tcPr>
          <w:p>
            <w:pPr>
              <w:spacing w:after="0"/>
              <w:rPr>
                <w:sz w:val="17"/>
                <w:szCs w:val="17"/>
                <w:color w:val="auto"/>
              </w:rPr>
            </w:pPr>
          </w:p>
        </w:tc>
        <w:tc>
          <w:tcPr>
            <w:tcW w:w="140" w:type="dxa"/>
            <w:vAlign w:val="bottom"/>
            <w:tcBorders>
              <w:top w:val="single" w:sz="8" w:color="929292"/>
              <w:bottom w:val="single" w:sz="8" w:color="929292"/>
            </w:tcBorders>
          </w:tcPr>
          <w:p>
            <w:pPr>
              <w:spacing w:after="0"/>
              <w:rPr>
                <w:sz w:val="17"/>
                <w:szCs w:val="17"/>
                <w:color w:val="auto"/>
              </w:rPr>
            </w:pPr>
          </w:p>
        </w:tc>
        <w:tc>
          <w:tcPr>
            <w:tcW w:w="82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161,139</w:t>
            </w:r>
          </w:p>
        </w:tc>
        <w:tc>
          <w:tcPr>
            <w:tcW w:w="100" w:type="dxa"/>
            <w:vAlign w:val="bottom"/>
          </w:tcPr>
          <w:p>
            <w:pPr>
              <w:spacing w:after="0"/>
              <w:rPr>
                <w:sz w:val="17"/>
                <w:szCs w:val="17"/>
                <w:color w:val="auto"/>
              </w:rPr>
            </w:pPr>
          </w:p>
        </w:tc>
        <w:tc>
          <w:tcPr>
            <w:tcW w:w="106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100.1 %</w:t>
            </w:r>
          </w:p>
        </w:tc>
        <w:tc>
          <w:tcPr>
            <w:tcW w:w="0" w:type="dxa"/>
            <w:vAlign w:val="bottom"/>
          </w:tcPr>
          <w:p>
            <w:pPr>
              <w:spacing w:after="0"/>
              <w:rPr>
                <w:sz w:val="1"/>
                <w:szCs w:val="1"/>
                <w:color w:val="auto"/>
              </w:rPr>
            </w:pPr>
          </w:p>
        </w:tc>
      </w:tr>
      <w:tr>
        <w:trPr>
          <w:trHeight w:val="194"/>
        </w:trPr>
        <w:tc>
          <w:tcPr>
            <w:tcW w:w="458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80" w:type="dxa"/>
            <w:vAlign w:val="bottom"/>
            <w:shd w:val="clear" w:color="auto" w:fill="B6B6B6"/>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(287,917)</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(42,672)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(245,245)</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574.7 %</w:t>
            </w:r>
          </w:p>
        </w:tc>
        <w:tc>
          <w:tcPr>
            <w:tcW w:w="0" w:type="dxa"/>
            <w:vAlign w:val="bottom"/>
          </w:tcPr>
          <w:p>
            <w:pPr>
              <w:spacing w:after="0"/>
              <w:rPr>
                <w:sz w:val="1"/>
                <w:szCs w:val="1"/>
                <w:color w:val="auto"/>
              </w:rPr>
            </w:pPr>
          </w:p>
        </w:tc>
      </w:tr>
      <w:tr>
        <w:trPr>
          <w:trHeight w:val="203"/>
        </w:trPr>
        <w:tc>
          <w:tcPr>
            <w:tcW w:w="45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24,762</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72.4 %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19,086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16.1 %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5,676</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29.7 %</w:t>
            </w:r>
          </w:p>
        </w:tc>
        <w:tc>
          <w:tcPr>
            <w:tcW w:w="0" w:type="dxa"/>
            <w:vAlign w:val="bottom"/>
          </w:tcPr>
          <w:p>
            <w:pPr>
              <w:spacing w:after="0"/>
              <w:rPr>
                <w:sz w:val="1"/>
                <w:szCs w:val="1"/>
                <w:color w:val="auto"/>
              </w:rPr>
            </w:pPr>
          </w:p>
        </w:tc>
      </w:tr>
      <w:tr>
        <w:trPr>
          <w:trHeight w:val="203"/>
        </w:trPr>
        <w:tc>
          <w:tcPr>
            <w:tcW w:w="458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8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1,655</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1,655</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NM</w:t>
            </w:r>
          </w:p>
        </w:tc>
        <w:tc>
          <w:tcPr>
            <w:tcW w:w="0" w:type="dxa"/>
            <w:vAlign w:val="bottom"/>
          </w:tcPr>
          <w:p>
            <w:pPr>
              <w:spacing w:after="0"/>
              <w:rPr>
                <w:sz w:val="1"/>
                <w:szCs w:val="1"/>
                <w:color w:val="auto"/>
              </w:rPr>
            </w:pPr>
          </w:p>
        </w:tc>
      </w:tr>
      <w:tr>
        <w:trPr>
          <w:trHeight w:val="203"/>
        </w:trPr>
        <w:tc>
          <w:tcPr>
            <w:tcW w:w="4580" w:type="dxa"/>
            <w:vAlign w:val="bottom"/>
          </w:tcPr>
          <w:p>
            <w:pPr>
              <w:ind w:left="20"/>
              <w:spacing w:after="0"/>
              <w:rPr>
                <w:sz w:val="20"/>
                <w:szCs w:val="20"/>
                <w:color w:val="auto"/>
              </w:rPr>
            </w:pPr>
            <w:r>
              <w:rPr>
                <w:rFonts w:ascii="Arial" w:cs="Arial" w:eastAsia="Arial" w:hAnsi="Arial"/>
                <w:sz w:val="14"/>
                <w:szCs w:val="14"/>
                <w:color w:val="auto"/>
              </w:rPr>
              <w:t>Gain on bargain purchase</w:t>
            </w:r>
          </w:p>
        </w:tc>
        <w:tc>
          <w:tcPr>
            <w:tcW w:w="8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(77,363)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77,363</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4"/>
        </w:trPr>
        <w:tc>
          <w:tcPr>
            <w:tcW w:w="458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80" w:type="dxa"/>
            <w:vAlign w:val="bottom"/>
            <w:tcBorders>
              <w:bottom w:val="single" w:sz="8" w:color="B6B6B6"/>
            </w:tcBorders>
            <w:shd w:val="clear" w:color="auto" w:fill="B6B6B6"/>
          </w:tcPr>
          <w:p>
            <w:pPr>
              <w:spacing w:after="0"/>
              <w:rPr>
                <w:sz w:val="17"/>
                <w:szCs w:val="17"/>
                <w:color w:val="auto"/>
              </w:rPr>
            </w:pPr>
          </w:p>
        </w:tc>
        <w:tc>
          <w:tcPr>
            <w:tcW w:w="160" w:type="dxa"/>
            <w:vAlign w:val="bottom"/>
            <w:tcBorders>
              <w:bottom w:val="single" w:sz="8" w:color="929292"/>
            </w:tcBorders>
          </w:tcPr>
          <w:p>
            <w:pPr>
              <w:spacing w:after="0"/>
              <w:rPr>
                <w:sz w:val="17"/>
                <w:szCs w:val="17"/>
                <w:color w:val="auto"/>
              </w:rPr>
            </w:pPr>
          </w:p>
        </w:tc>
        <w:tc>
          <w:tcPr>
            <w:tcW w:w="8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10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17"/>
                <w:szCs w:val="17"/>
                <w:color w:val="auto"/>
              </w:rPr>
            </w:pPr>
          </w:p>
        </w:tc>
        <w:tc>
          <w:tcPr>
            <w:tcW w:w="160" w:type="dxa"/>
            <w:vAlign w:val="bottom"/>
            <w:tcBorders>
              <w:bottom w:val="single" w:sz="8" w:color="929292"/>
            </w:tcBorders>
          </w:tcPr>
          <w:p>
            <w:pPr>
              <w:spacing w:after="0"/>
              <w:rPr>
                <w:sz w:val="17"/>
                <w:szCs w:val="17"/>
                <w:color w:val="auto"/>
              </w:rPr>
            </w:pPr>
          </w:p>
        </w:tc>
        <w:tc>
          <w:tcPr>
            <w:tcW w:w="80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7"/>
                <w:szCs w:val="17"/>
                <w:color w:val="auto"/>
              </w:rPr>
            </w:pPr>
          </w:p>
        </w:tc>
        <w:tc>
          <w:tcPr>
            <w:tcW w:w="200" w:type="dxa"/>
            <w:vAlign w:val="bottom"/>
            <w:tcBorders>
              <w:bottom w:val="single" w:sz="8" w:color="929292"/>
            </w:tcBorders>
          </w:tcPr>
          <w:p>
            <w:pPr>
              <w:spacing w:after="0"/>
              <w:rPr>
                <w:sz w:val="17"/>
                <w:szCs w:val="17"/>
                <w:color w:val="auto"/>
              </w:rPr>
            </w:pPr>
          </w:p>
        </w:tc>
        <w:tc>
          <w:tcPr>
            <w:tcW w:w="8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0.2 %</w:t>
            </w:r>
          </w:p>
        </w:tc>
        <w:tc>
          <w:tcPr>
            <w:tcW w:w="80" w:type="dxa"/>
            <w:vAlign w:val="bottom"/>
          </w:tcPr>
          <w:p>
            <w:pPr>
              <w:spacing w:after="0"/>
              <w:rPr>
                <w:sz w:val="17"/>
                <w:szCs w:val="17"/>
                <w:color w:val="auto"/>
              </w:rPr>
            </w:pPr>
          </w:p>
        </w:tc>
        <w:tc>
          <w:tcPr>
            <w:tcW w:w="140" w:type="dxa"/>
            <w:vAlign w:val="bottom"/>
            <w:tcBorders>
              <w:bottom w:val="single" w:sz="8" w:color="929292"/>
            </w:tcBorders>
          </w:tcPr>
          <w:p>
            <w:pPr>
              <w:spacing w:after="0"/>
              <w:rPr>
                <w:sz w:val="17"/>
                <w:szCs w:val="17"/>
                <w:color w:val="auto"/>
              </w:rPr>
            </w:pPr>
          </w:p>
        </w:tc>
        <w:tc>
          <w:tcPr>
            <w:tcW w:w="8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7"/>
                <w:szCs w:val="17"/>
                <w:color w:val="auto"/>
              </w:rPr>
            </w:pPr>
          </w:p>
        </w:tc>
        <w:tc>
          <w:tcPr>
            <w:tcW w:w="10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96"/>
        </w:trPr>
        <w:tc>
          <w:tcPr>
            <w:tcW w:w="458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80" w:type="dxa"/>
            <w:vAlign w:val="bottom"/>
            <w:tcBorders>
              <w:bottom w:val="single" w:sz="8" w:color="B6B6B6"/>
            </w:tcBorders>
            <w:shd w:val="clear" w:color="auto" w:fill="B6B6B6"/>
          </w:tcPr>
          <w:p>
            <w:pPr>
              <w:spacing w:after="0"/>
              <w:rPr>
                <w:sz w:val="17"/>
                <w:szCs w:val="17"/>
                <w:color w:val="auto"/>
              </w:rPr>
            </w:pPr>
          </w:p>
        </w:tc>
        <w:tc>
          <w:tcPr>
            <w:tcW w:w="160" w:type="dxa"/>
            <w:vAlign w:val="bottom"/>
            <w:tcBorders>
              <w:bottom w:val="single" w:sz="8" w:color="929292"/>
            </w:tcBorders>
          </w:tcPr>
          <w:p>
            <w:pPr>
              <w:spacing w:after="0"/>
              <w:rPr>
                <w:sz w:val="17"/>
                <w:szCs w:val="17"/>
                <w:color w:val="auto"/>
              </w:rPr>
            </w:pPr>
          </w:p>
        </w:tc>
        <w:tc>
          <w:tcPr>
            <w:tcW w:w="8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(314,404)</w:t>
            </w:r>
          </w:p>
        </w:tc>
        <w:tc>
          <w:tcPr>
            <w:tcW w:w="100" w:type="dxa"/>
            <w:vAlign w:val="bottom"/>
          </w:tcPr>
          <w:p>
            <w:pPr>
              <w:spacing w:after="0"/>
              <w:rPr>
                <w:sz w:val="17"/>
                <w:szCs w:val="17"/>
                <w:color w:val="auto"/>
              </w:rPr>
            </w:pPr>
          </w:p>
        </w:tc>
        <w:tc>
          <w:tcPr>
            <w:tcW w:w="10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(919.7)%</w:t>
            </w:r>
          </w:p>
        </w:tc>
        <w:tc>
          <w:tcPr>
            <w:tcW w:w="100" w:type="dxa"/>
            <w:vAlign w:val="bottom"/>
          </w:tcPr>
          <w:p>
            <w:pPr>
              <w:spacing w:after="0"/>
              <w:rPr>
                <w:sz w:val="17"/>
                <w:szCs w:val="17"/>
                <w:color w:val="auto"/>
              </w:rPr>
            </w:pPr>
          </w:p>
        </w:tc>
        <w:tc>
          <w:tcPr>
            <w:tcW w:w="160" w:type="dxa"/>
            <w:vAlign w:val="bottom"/>
            <w:tcBorders>
              <w:bottom w:val="single" w:sz="8" w:color="929292"/>
            </w:tcBorders>
          </w:tcPr>
          <w:p>
            <w:pPr>
              <w:spacing w:after="0"/>
              <w:rPr>
                <w:sz w:val="17"/>
                <w:szCs w:val="17"/>
                <w:color w:val="auto"/>
              </w:rPr>
            </w:pPr>
          </w:p>
        </w:tc>
        <w:tc>
          <w:tcPr>
            <w:tcW w:w="80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15,355</w:t>
            </w:r>
          </w:p>
        </w:tc>
        <w:tc>
          <w:tcPr>
            <w:tcW w:w="80" w:type="dxa"/>
            <w:vAlign w:val="bottom"/>
          </w:tcPr>
          <w:p>
            <w:pPr>
              <w:spacing w:after="0"/>
              <w:rPr>
                <w:sz w:val="17"/>
                <w:szCs w:val="17"/>
                <w:color w:val="auto"/>
              </w:rPr>
            </w:pPr>
          </w:p>
        </w:tc>
        <w:tc>
          <w:tcPr>
            <w:tcW w:w="200" w:type="dxa"/>
            <w:vAlign w:val="bottom"/>
            <w:tcBorders>
              <w:bottom w:val="single" w:sz="8" w:color="929292"/>
            </w:tcBorders>
          </w:tcPr>
          <w:p>
            <w:pPr>
              <w:spacing w:after="0"/>
              <w:rPr>
                <w:sz w:val="17"/>
                <w:szCs w:val="17"/>
                <w:color w:val="auto"/>
              </w:rPr>
            </w:pPr>
          </w:p>
        </w:tc>
        <w:tc>
          <w:tcPr>
            <w:tcW w:w="8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13.0 %</w:t>
            </w:r>
          </w:p>
        </w:tc>
        <w:tc>
          <w:tcPr>
            <w:tcW w:w="80" w:type="dxa"/>
            <w:vAlign w:val="bottom"/>
          </w:tcPr>
          <w:p>
            <w:pPr>
              <w:spacing w:after="0"/>
              <w:rPr>
                <w:sz w:val="17"/>
                <w:szCs w:val="17"/>
                <w:color w:val="auto"/>
              </w:rPr>
            </w:pPr>
          </w:p>
        </w:tc>
        <w:tc>
          <w:tcPr>
            <w:tcW w:w="140" w:type="dxa"/>
            <w:vAlign w:val="bottom"/>
            <w:tcBorders>
              <w:bottom w:val="single" w:sz="8" w:color="929292"/>
            </w:tcBorders>
          </w:tcPr>
          <w:p>
            <w:pPr>
              <w:spacing w:after="0"/>
              <w:rPr>
                <w:sz w:val="17"/>
                <w:szCs w:val="17"/>
                <w:color w:val="auto"/>
              </w:rPr>
            </w:pPr>
          </w:p>
        </w:tc>
        <w:tc>
          <w:tcPr>
            <w:tcW w:w="8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(329,759)</w:t>
            </w:r>
          </w:p>
        </w:tc>
        <w:tc>
          <w:tcPr>
            <w:tcW w:w="100" w:type="dxa"/>
            <w:vAlign w:val="bottom"/>
          </w:tcPr>
          <w:p>
            <w:pPr>
              <w:spacing w:after="0"/>
              <w:rPr>
                <w:sz w:val="17"/>
                <w:szCs w:val="17"/>
                <w:color w:val="auto"/>
              </w:rPr>
            </w:pPr>
          </w:p>
        </w:tc>
        <w:tc>
          <w:tcPr>
            <w:tcW w:w="10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(2147.6)%</w:t>
            </w:r>
          </w:p>
        </w:tc>
        <w:tc>
          <w:tcPr>
            <w:tcW w:w="0" w:type="dxa"/>
            <w:vAlign w:val="bottom"/>
          </w:tcPr>
          <w:p>
            <w:pPr>
              <w:spacing w:after="0"/>
              <w:rPr>
                <w:sz w:val="1"/>
                <w:szCs w:val="1"/>
                <w:color w:val="auto"/>
              </w:rPr>
            </w:pPr>
          </w:p>
        </w:tc>
      </w:tr>
      <w:tr>
        <w:trPr>
          <w:trHeight w:val="196"/>
        </w:trPr>
        <w:tc>
          <w:tcPr>
            <w:tcW w:w="458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8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4318.2 %</w:t>
            </w:r>
          </w:p>
        </w:tc>
        <w:tc>
          <w:tcPr>
            <w:tcW w:w="0" w:type="dxa"/>
            <w:vAlign w:val="bottom"/>
          </w:tcPr>
          <w:p>
            <w:pPr>
              <w:spacing w:after="0"/>
              <w:rPr>
                <w:sz w:val="1"/>
                <w:szCs w:val="1"/>
                <w:color w:val="auto"/>
              </w:rPr>
            </w:pPr>
          </w:p>
        </w:tc>
      </w:tr>
      <w:tr>
        <w:trPr>
          <w:trHeight w:val="196"/>
        </w:trPr>
        <w:tc>
          <w:tcPr>
            <w:tcW w:w="45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tcBorders>
              <w:top w:val="single" w:sz="8" w:color="B6B6B6"/>
              <w:bottom w:val="single" w:sz="8" w:color="B6B6B6"/>
            </w:tcBorders>
            <w:shd w:val="clear" w:color="auto" w:fill="B6B6B6"/>
          </w:tcPr>
          <w:p>
            <w:pPr>
              <w:spacing w:after="0"/>
              <w:rPr>
                <w:sz w:val="17"/>
                <w:szCs w:val="17"/>
                <w:color w:val="auto"/>
              </w:rPr>
            </w:pPr>
          </w:p>
        </w:tc>
        <w:tc>
          <w:tcPr>
            <w:tcW w:w="160" w:type="dxa"/>
            <w:vAlign w:val="bottom"/>
            <w:tcBorders>
              <w:top w:val="single" w:sz="8" w:color="929292"/>
              <w:bottom w:val="single" w:sz="8" w:color="929292"/>
            </w:tcBorders>
          </w:tcPr>
          <w:p>
            <w:pPr>
              <w:spacing w:after="0"/>
              <w:rPr>
                <w:sz w:val="17"/>
                <w:szCs w:val="17"/>
                <w:color w:val="auto"/>
              </w:rPr>
            </w:pPr>
          </w:p>
        </w:tc>
        <w:tc>
          <w:tcPr>
            <w:tcW w:w="82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(313,918)</w:t>
            </w:r>
          </w:p>
        </w:tc>
        <w:tc>
          <w:tcPr>
            <w:tcW w:w="100" w:type="dxa"/>
            <w:vAlign w:val="bottom"/>
          </w:tcPr>
          <w:p>
            <w:pPr>
              <w:spacing w:after="0"/>
              <w:rPr>
                <w:sz w:val="17"/>
                <w:szCs w:val="17"/>
                <w:color w:val="auto"/>
              </w:rPr>
            </w:pPr>
          </w:p>
        </w:tc>
        <w:tc>
          <w:tcPr>
            <w:tcW w:w="106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(918.3)%</w:t>
            </w:r>
          </w:p>
        </w:tc>
        <w:tc>
          <w:tcPr>
            <w:tcW w:w="100" w:type="dxa"/>
            <w:vAlign w:val="bottom"/>
          </w:tcPr>
          <w:p>
            <w:pPr>
              <w:spacing w:after="0"/>
              <w:rPr>
                <w:sz w:val="17"/>
                <w:szCs w:val="17"/>
                <w:color w:val="auto"/>
              </w:rPr>
            </w:pPr>
          </w:p>
        </w:tc>
        <w:tc>
          <w:tcPr>
            <w:tcW w:w="160" w:type="dxa"/>
            <w:vAlign w:val="bottom"/>
            <w:tcBorders>
              <w:top w:val="single" w:sz="8" w:color="929292"/>
              <w:bottom w:val="single" w:sz="8" w:color="929292"/>
            </w:tcBorders>
          </w:tcPr>
          <w:p>
            <w:pPr>
              <w:spacing w:after="0"/>
              <w:rPr>
                <w:sz w:val="17"/>
                <w:szCs w:val="17"/>
                <w:color w:val="auto"/>
              </w:rPr>
            </w:pPr>
          </w:p>
        </w:tc>
        <w:tc>
          <w:tcPr>
            <w:tcW w:w="800" w:type="dxa"/>
            <w:vAlign w:val="bottom"/>
            <w:tcBorders>
              <w:top w:val="single" w:sz="8" w:color="929292"/>
              <w:bottom w:val="single" w:sz="8" w:color="929292"/>
            </w:tcBorders>
          </w:tcPr>
          <w:p>
            <w:pPr>
              <w:jc w:val="right"/>
              <w:ind w:right="8"/>
              <w:spacing w:after="0"/>
              <w:rPr>
                <w:sz w:val="20"/>
                <w:szCs w:val="20"/>
                <w:color w:val="auto"/>
              </w:rPr>
            </w:pPr>
            <w:r>
              <w:rPr>
                <w:rFonts w:ascii="Arial" w:cs="Arial" w:eastAsia="Arial" w:hAnsi="Arial"/>
                <w:sz w:val="14"/>
                <w:szCs w:val="14"/>
                <w:color w:val="auto"/>
              </w:rPr>
              <w:t>15,366</w:t>
            </w:r>
          </w:p>
        </w:tc>
        <w:tc>
          <w:tcPr>
            <w:tcW w:w="80" w:type="dxa"/>
            <w:vAlign w:val="bottom"/>
          </w:tcPr>
          <w:p>
            <w:pPr>
              <w:spacing w:after="0"/>
              <w:rPr>
                <w:sz w:val="17"/>
                <w:szCs w:val="17"/>
                <w:color w:val="auto"/>
              </w:rPr>
            </w:pPr>
          </w:p>
        </w:tc>
        <w:tc>
          <w:tcPr>
            <w:tcW w:w="200" w:type="dxa"/>
            <w:vAlign w:val="bottom"/>
            <w:tcBorders>
              <w:top w:val="single" w:sz="8" w:color="929292"/>
              <w:bottom w:val="single" w:sz="8" w:color="929292"/>
            </w:tcBorders>
          </w:tcPr>
          <w:p>
            <w:pPr>
              <w:spacing w:after="0"/>
              <w:rPr>
                <w:sz w:val="17"/>
                <w:szCs w:val="17"/>
                <w:color w:val="auto"/>
              </w:rPr>
            </w:pPr>
          </w:p>
        </w:tc>
        <w:tc>
          <w:tcPr>
            <w:tcW w:w="88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13.0 %</w:t>
            </w:r>
          </w:p>
        </w:tc>
        <w:tc>
          <w:tcPr>
            <w:tcW w:w="80" w:type="dxa"/>
            <w:vAlign w:val="bottom"/>
          </w:tcPr>
          <w:p>
            <w:pPr>
              <w:spacing w:after="0"/>
              <w:rPr>
                <w:sz w:val="17"/>
                <w:szCs w:val="17"/>
                <w:color w:val="auto"/>
              </w:rPr>
            </w:pPr>
          </w:p>
        </w:tc>
        <w:tc>
          <w:tcPr>
            <w:tcW w:w="140" w:type="dxa"/>
            <w:vAlign w:val="bottom"/>
            <w:tcBorders>
              <w:top w:val="single" w:sz="8" w:color="929292"/>
              <w:bottom w:val="single" w:sz="8" w:color="929292"/>
            </w:tcBorders>
          </w:tcPr>
          <w:p>
            <w:pPr>
              <w:spacing w:after="0"/>
              <w:rPr>
                <w:sz w:val="17"/>
                <w:szCs w:val="17"/>
                <w:color w:val="auto"/>
              </w:rPr>
            </w:pPr>
          </w:p>
        </w:tc>
        <w:tc>
          <w:tcPr>
            <w:tcW w:w="82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(329,284)</w:t>
            </w:r>
          </w:p>
        </w:tc>
        <w:tc>
          <w:tcPr>
            <w:tcW w:w="100" w:type="dxa"/>
            <w:vAlign w:val="bottom"/>
          </w:tcPr>
          <w:p>
            <w:pPr>
              <w:spacing w:after="0"/>
              <w:rPr>
                <w:sz w:val="17"/>
                <w:szCs w:val="17"/>
                <w:color w:val="auto"/>
              </w:rPr>
            </w:pPr>
          </w:p>
        </w:tc>
        <w:tc>
          <w:tcPr>
            <w:tcW w:w="106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(2142.9)%</w:t>
            </w:r>
          </w:p>
        </w:tc>
        <w:tc>
          <w:tcPr>
            <w:tcW w:w="0" w:type="dxa"/>
            <w:vAlign w:val="bottom"/>
          </w:tcPr>
          <w:p>
            <w:pPr>
              <w:spacing w:after="0"/>
              <w:rPr>
                <w:sz w:val="1"/>
                <w:szCs w:val="1"/>
                <w:color w:val="auto"/>
              </w:rPr>
            </w:pPr>
          </w:p>
        </w:tc>
      </w:tr>
      <w:tr>
        <w:trPr>
          <w:trHeight w:val="198"/>
        </w:trPr>
        <w:tc>
          <w:tcPr>
            <w:tcW w:w="458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80" w:type="dxa"/>
            <w:vAlign w:val="bottom"/>
            <w:tcBorders>
              <w:bottom w:val="single" w:sz="8" w:color="B6B6B6"/>
            </w:tcBorders>
            <w:shd w:val="clear" w:color="auto" w:fill="B6B6B6"/>
          </w:tcPr>
          <w:p>
            <w:pPr>
              <w:spacing w:after="0"/>
              <w:rPr>
                <w:sz w:val="17"/>
                <w:szCs w:val="17"/>
                <w:color w:val="auto"/>
              </w:rPr>
            </w:pPr>
          </w:p>
        </w:tc>
        <w:tc>
          <w:tcPr>
            <w:tcW w:w="160" w:type="dxa"/>
            <w:vAlign w:val="bottom"/>
            <w:tcBorders>
              <w:bottom w:val="single" w:sz="8" w:color="929292"/>
            </w:tcBorders>
          </w:tcPr>
          <w:p>
            <w:pPr>
              <w:spacing w:after="0"/>
              <w:rPr>
                <w:sz w:val="17"/>
                <w:szCs w:val="17"/>
                <w:color w:val="auto"/>
              </w:rPr>
            </w:pPr>
          </w:p>
        </w:tc>
        <w:tc>
          <w:tcPr>
            <w:tcW w:w="8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(148,072)</w:t>
            </w:r>
          </w:p>
        </w:tc>
        <w:tc>
          <w:tcPr>
            <w:tcW w:w="100" w:type="dxa"/>
            <w:vAlign w:val="bottom"/>
          </w:tcPr>
          <w:p>
            <w:pPr>
              <w:spacing w:after="0"/>
              <w:rPr>
                <w:sz w:val="17"/>
                <w:szCs w:val="17"/>
                <w:color w:val="auto"/>
              </w:rPr>
            </w:pPr>
          </w:p>
        </w:tc>
        <w:tc>
          <w:tcPr>
            <w:tcW w:w="10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(433.1)%</w:t>
            </w:r>
          </w:p>
        </w:tc>
        <w:tc>
          <w:tcPr>
            <w:tcW w:w="100" w:type="dxa"/>
            <w:vAlign w:val="bottom"/>
          </w:tcPr>
          <w:p>
            <w:pPr>
              <w:spacing w:after="0"/>
              <w:rPr>
                <w:sz w:val="17"/>
                <w:szCs w:val="17"/>
                <w:color w:val="auto"/>
              </w:rPr>
            </w:pPr>
          </w:p>
        </w:tc>
        <w:tc>
          <w:tcPr>
            <w:tcW w:w="160" w:type="dxa"/>
            <w:vAlign w:val="bottom"/>
            <w:tcBorders>
              <w:bottom w:val="single" w:sz="8" w:color="929292"/>
            </w:tcBorders>
          </w:tcPr>
          <w:p>
            <w:pPr>
              <w:spacing w:after="0"/>
              <w:rPr>
                <w:sz w:val="17"/>
                <w:szCs w:val="17"/>
                <w:color w:val="auto"/>
              </w:rPr>
            </w:pPr>
          </w:p>
        </w:tc>
        <w:tc>
          <w:tcPr>
            <w:tcW w:w="80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8,591</w:t>
            </w:r>
          </w:p>
        </w:tc>
        <w:tc>
          <w:tcPr>
            <w:tcW w:w="80" w:type="dxa"/>
            <w:vAlign w:val="bottom"/>
          </w:tcPr>
          <w:p>
            <w:pPr>
              <w:spacing w:after="0"/>
              <w:rPr>
                <w:sz w:val="17"/>
                <w:szCs w:val="17"/>
                <w:color w:val="auto"/>
              </w:rPr>
            </w:pPr>
          </w:p>
        </w:tc>
        <w:tc>
          <w:tcPr>
            <w:tcW w:w="200" w:type="dxa"/>
            <w:vAlign w:val="bottom"/>
            <w:tcBorders>
              <w:bottom w:val="single" w:sz="8" w:color="929292"/>
            </w:tcBorders>
          </w:tcPr>
          <w:p>
            <w:pPr>
              <w:spacing w:after="0"/>
              <w:rPr>
                <w:sz w:val="17"/>
                <w:szCs w:val="17"/>
                <w:color w:val="auto"/>
              </w:rPr>
            </w:pPr>
          </w:p>
        </w:tc>
        <w:tc>
          <w:tcPr>
            <w:tcW w:w="8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7.3 %</w:t>
            </w:r>
          </w:p>
        </w:tc>
        <w:tc>
          <w:tcPr>
            <w:tcW w:w="80" w:type="dxa"/>
            <w:vAlign w:val="bottom"/>
          </w:tcPr>
          <w:p>
            <w:pPr>
              <w:spacing w:after="0"/>
              <w:rPr>
                <w:sz w:val="17"/>
                <w:szCs w:val="17"/>
                <w:color w:val="auto"/>
              </w:rPr>
            </w:pPr>
          </w:p>
        </w:tc>
        <w:tc>
          <w:tcPr>
            <w:tcW w:w="140" w:type="dxa"/>
            <w:vAlign w:val="bottom"/>
            <w:tcBorders>
              <w:bottom w:val="single" w:sz="8" w:color="929292"/>
            </w:tcBorders>
          </w:tcPr>
          <w:p>
            <w:pPr>
              <w:spacing w:after="0"/>
              <w:rPr>
                <w:sz w:val="17"/>
                <w:szCs w:val="17"/>
                <w:color w:val="auto"/>
              </w:rPr>
            </w:pPr>
          </w:p>
        </w:tc>
        <w:tc>
          <w:tcPr>
            <w:tcW w:w="8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(156,663)</w:t>
            </w:r>
          </w:p>
        </w:tc>
        <w:tc>
          <w:tcPr>
            <w:tcW w:w="100" w:type="dxa"/>
            <w:vAlign w:val="bottom"/>
          </w:tcPr>
          <w:p>
            <w:pPr>
              <w:spacing w:after="0"/>
              <w:rPr>
                <w:sz w:val="17"/>
                <w:szCs w:val="17"/>
                <w:color w:val="auto"/>
              </w:rPr>
            </w:pPr>
          </w:p>
        </w:tc>
        <w:tc>
          <w:tcPr>
            <w:tcW w:w="10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(1823.6)%</w:t>
            </w:r>
          </w:p>
        </w:tc>
        <w:tc>
          <w:tcPr>
            <w:tcW w:w="0" w:type="dxa"/>
            <w:vAlign w:val="bottom"/>
          </w:tcPr>
          <w:p>
            <w:pPr>
              <w:spacing w:after="0"/>
              <w:rPr>
                <w:sz w:val="1"/>
                <w:szCs w:val="1"/>
                <w:color w:val="auto"/>
              </w:rPr>
            </w:pPr>
          </w:p>
        </w:tc>
      </w:tr>
      <w:tr>
        <w:trPr>
          <w:trHeight w:val="200"/>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80" w:type="dxa"/>
            <w:vAlign w:val="bottom"/>
            <w:tcBorders>
              <w:bottom w:val="single" w:sz="8" w:color="B6B6B6"/>
            </w:tcBorders>
            <w:shd w:val="clear" w:color="auto" w:fill="B6B6B6"/>
          </w:tcPr>
          <w:p>
            <w:pPr>
              <w:spacing w:after="0"/>
              <w:rPr>
                <w:sz w:val="17"/>
                <w:szCs w:val="17"/>
                <w:color w:val="auto"/>
              </w:rPr>
            </w:pPr>
          </w:p>
        </w:tc>
        <w:tc>
          <w:tcPr>
            <w:tcW w:w="16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(165,846)</w:t>
            </w:r>
          </w:p>
        </w:tc>
        <w:tc>
          <w:tcPr>
            <w:tcW w:w="100" w:type="dxa"/>
            <w:vAlign w:val="bottom"/>
          </w:tcPr>
          <w:p>
            <w:pPr>
              <w:spacing w:after="0"/>
              <w:rPr>
                <w:sz w:val="17"/>
                <w:szCs w:val="17"/>
                <w:color w:val="auto"/>
              </w:rPr>
            </w:pPr>
          </w:p>
        </w:tc>
        <w:tc>
          <w:tcPr>
            <w:tcW w:w="106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(485.1)%</w:t>
            </w:r>
          </w:p>
        </w:tc>
        <w:tc>
          <w:tcPr>
            <w:tcW w:w="100" w:type="dxa"/>
            <w:vAlign w:val="bottom"/>
          </w:tcPr>
          <w:p>
            <w:pPr>
              <w:spacing w:after="0"/>
              <w:rPr>
                <w:sz w:val="17"/>
                <w:szCs w:val="17"/>
                <w:color w:val="auto"/>
              </w:rPr>
            </w:pPr>
          </w:p>
        </w:tc>
        <w:tc>
          <w:tcPr>
            <w:tcW w:w="16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b w:val="1"/>
                <w:bCs w:val="1"/>
                <w:color w:val="auto"/>
              </w:rPr>
              <w:t>6,775</w:t>
            </w:r>
          </w:p>
        </w:tc>
        <w:tc>
          <w:tcPr>
            <w:tcW w:w="80" w:type="dxa"/>
            <w:vAlign w:val="bottom"/>
          </w:tcPr>
          <w:p>
            <w:pPr>
              <w:spacing w:after="0"/>
              <w:rPr>
                <w:sz w:val="17"/>
                <w:szCs w:val="17"/>
                <w:color w:val="auto"/>
              </w:rPr>
            </w:pPr>
          </w:p>
        </w:tc>
        <w:tc>
          <w:tcPr>
            <w:tcW w:w="200" w:type="dxa"/>
            <w:vAlign w:val="bottom"/>
            <w:tcBorders>
              <w:bottom w:val="single" w:sz="8" w:color="929292"/>
            </w:tcBorders>
          </w:tcPr>
          <w:p>
            <w:pPr>
              <w:spacing w:after="0"/>
              <w:rPr>
                <w:sz w:val="17"/>
                <w:szCs w:val="17"/>
                <w:color w:val="auto"/>
              </w:rPr>
            </w:pPr>
          </w:p>
        </w:tc>
        <w:tc>
          <w:tcPr>
            <w:tcW w:w="88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5.7 %</w:t>
            </w:r>
          </w:p>
        </w:tc>
        <w:tc>
          <w:tcPr>
            <w:tcW w:w="80" w:type="dxa"/>
            <w:vAlign w:val="bottom"/>
          </w:tcPr>
          <w:p>
            <w:pPr>
              <w:spacing w:after="0"/>
              <w:rPr>
                <w:sz w:val="17"/>
                <w:szCs w:val="17"/>
                <w:color w:val="auto"/>
              </w:rPr>
            </w:pPr>
          </w:p>
        </w:tc>
        <w:tc>
          <w:tcPr>
            <w:tcW w:w="14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(172,621)</w:t>
            </w:r>
          </w:p>
        </w:tc>
        <w:tc>
          <w:tcPr>
            <w:tcW w:w="100" w:type="dxa"/>
            <w:vAlign w:val="bottom"/>
          </w:tcPr>
          <w:p>
            <w:pPr>
              <w:spacing w:after="0"/>
              <w:rPr>
                <w:sz w:val="17"/>
                <w:szCs w:val="17"/>
                <w:color w:val="auto"/>
              </w:rPr>
            </w:pPr>
          </w:p>
        </w:tc>
        <w:tc>
          <w:tcPr>
            <w:tcW w:w="106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(2547.9)%</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Net income (loss) per share (Note 7):</w:t>
            </w:r>
          </w:p>
        </w:tc>
        <w:tc>
          <w:tcPr>
            <w:tcW w:w="80" w:type="dxa"/>
            <w:vAlign w:val="bottom"/>
            <w:tcBorders>
              <w:bottom w:val="single" w:sz="8" w:color="B6B6B6"/>
            </w:tcBorders>
            <w:vMerge w:val="restart"/>
            <w:shd w:val="clear" w:color="auto" w:fill="B6B6B6"/>
          </w:tcPr>
          <w:p>
            <w:pPr>
              <w:spacing w:after="0" w:line="20" w:lineRule="exact"/>
              <w:rPr>
                <w:sz w:val="1"/>
                <w:szCs w:val="1"/>
                <w:color w:val="auto"/>
              </w:rPr>
            </w:pPr>
          </w:p>
        </w:tc>
        <w:tc>
          <w:tcPr>
            <w:tcW w:w="160" w:type="dxa"/>
            <w:vAlign w:val="bottom"/>
            <w:tcBorders>
              <w:bottom w:val="single" w:sz="8" w:color="929292"/>
            </w:tcBorders>
          </w:tcPr>
          <w:p>
            <w:pPr>
              <w:spacing w:after="0" w:line="20" w:lineRule="exact"/>
              <w:rPr>
                <w:sz w:val="1"/>
                <w:szCs w:val="1"/>
                <w:color w:val="auto"/>
              </w:rPr>
            </w:pPr>
          </w:p>
        </w:tc>
        <w:tc>
          <w:tcPr>
            <w:tcW w:w="82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929292"/>
            </w:tcBorders>
          </w:tcPr>
          <w:p>
            <w:pPr>
              <w:spacing w:after="0" w:line="20" w:lineRule="exact"/>
              <w:rPr>
                <w:sz w:val="1"/>
                <w:szCs w:val="1"/>
                <w:color w:val="auto"/>
              </w:rPr>
            </w:pPr>
          </w:p>
        </w:tc>
        <w:tc>
          <w:tcPr>
            <w:tcW w:w="80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929292"/>
            </w:tcBorders>
          </w:tcPr>
          <w:p>
            <w:pPr>
              <w:spacing w:after="0" w:line="20" w:lineRule="exact"/>
              <w:rPr>
                <w:sz w:val="1"/>
                <w:szCs w:val="1"/>
                <w:color w:val="auto"/>
              </w:rPr>
            </w:pPr>
          </w:p>
        </w:tc>
        <w:tc>
          <w:tcPr>
            <w:tcW w:w="88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929292"/>
            </w:tcBorders>
          </w:tcPr>
          <w:p>
            <w:pPr>
              <w:spacing w:after="0" w:line="20" w:lineRule="exact"/>
              <w:rPr>
                <w:sz w:val="1"/>
                <w:szCs w:val="1"/>
                <w:color w:val="auto"/>
              </w:rPr>
            </w:pPr>
          </w:p>
        </w:tc>
        <w:tc>
          <w:tcPr>
            <w:tcW w:w="82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580" w:type="dxa"/>
            <w:vAlign w:val="bottom"/>
            <w:vMerge w:val="continue"/>
          </w:tcPr>
          <w:p>
            <w:pPr>
              <w:spacing w:after="0"/>
              <w:rPr>
                <w:sz w:val="14"/>
                <w:szCs w:val="14"/>
                <w:color w:val="auto"/>
              </w:rPr>
            </w:pPr>
          </w:p>
        </w:tc>
        <w:tc>
          <w:tcPr>
            <w:tcW w:w="80" w:type="dxa"/>
            <w:vAlign w:val="bottom"/>
            <w:vMerge w:val="continue"/>
            <w:shd w:val="clear" w:color="auto" w:fill="B6B6B6"/>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20"/>
              <w:spacing w:after="0"/>
              <w:rPr>
                <w:sz w:val="20"/>
                <w:szCs w:val="20"/>
                <w:color w:val="auto"/>
              </w:rPr>
            </w:pPr>
            <w:r>
              <w:rPr>
                <w:rFonts w:ascii="Arial" w:cs="Arial" w:eastAsia="Arial" w:hAnsi="Arial"/>
                <w:sz w:val="14"/>
                <w:szCs w:val="14"/>
                <w:color w:val="auto"/>
              </w:rPr>
              <w:t>Net income (loss) per share of Class A common stock — basic</w:t>
            </w:r>
          </w:p>
        </w:tc>
        <w:tc>
          <w:tcPr>
            <w:tcW w:w="80" w:type="dxa"/>
            <w:vAlign w:val="bottom"/>
            <w:shd w:val="clear" w:color="auto" w:fill="B6B6B6"/>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(11.80)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0.58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20"/>
              <w:spacing w:after="0"/>
              <w:rPr>
                <w:sz w:val="20"/>
                <w:szCs w:val="20"/>
                <w:color w:val="auto"/>
              </w:rPr>
            </w:pPr>
            <w:r>
              <w:rPr>
                <w:rFonts w:ascii="Arial" w:cs="Arial" w:eastAsia="Arial" w:hAnsi="Arial"/>
                <w:sz w:val="14"/>
                <w:szCs w:val="14"/>
                <w:color w:val="auto"/>
              </w:rPr>
              <w:t>Net income (loss) per share of Class A common stock — diluted</w:t>
            </w:r>
          </w:p>
        </w:tc>
        <w:tc>
          <w:tcPr>
            <w:tcW w:w="80" w:type="dxa"/>
            <w:vAlign w:val="bottom"/>
            <w:shd w:val="clear" w:color="auto" w:fill="B6B6B6"/>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(11.80)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580" w:type="dxa"/>
            <w:vAlign w:val="bottom"/>
          </w:tcPr>
          <w:p>
            <w:pPr>
              <w:ind w:left="20"/>
              <w:spacing w:after="0"/>
              <w:rPr>
                <w:sz w:val="20"/>
                <w:szCs w:val="20"/>
                <w:color w:val="auto"/>
              </w:rPr>
            </w:pPr>
            <w:r>
              <w:rPr>
                <w:rFonts w:ascii="Arial" w:cs="Arial" w:eastAsia="Arial" w:hAnsi="Arial"/>
                <w:sz w:val="14"/>
                <w:szCs w:val="14"/>
                <w:color w:val="auto"/>
              </w:rPr>
              <w:t>Weighted-average shares of Class A common stock outstanding —</w:t>
            </w:r>
          </w:p>
        </w:tc>
        <w:tc>
          <w:tcPr>
            <w:tcW w:w="80" w:type="dxa"/>
            <w:vAlign w:val="bottom"/>
            <w:shd w:val="clear" w:color="auto" w:fill="B6B6B6"/>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14,136</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10,077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basic</w:t>
            </w:r>
          </w:p>
        </w:tc>
        <w:tc>
          <w:tcPr>
            <w:tcW w:w="80" w:type="dxa"/>
            <w:vAlign w:val="bottom"/>
            <w:shd w:val="clear" w:color="auto" w:fill="B6B6B6"/>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580" w:type="dxa"/>
            <w:vAlign w:val="bottom"/>
          </w:tcPr>
          <w:p>
            <w:pPr>
              <w:ind w:left="20"/>
              <w:spacing w:after="0" w:line="149" w:lineRule="exact"/>
              <w:rPr>
                <w:sz w:val="20"/>
                <w:szCs w:val="20"/>
                <w:color w:val="auto"/>
              </w:rPr>
            </w:pPr>
            <w:r>
              <w:rPr>
                <w:rFonts w:ascii="Arial" w:cs="Arial" w:eastAsia="Arial" w:hAnsi="Arial"/>
                <w:sz w:val="14"/>
                <w:szCs w:val="14"/>
                <w:color w:val="auto"/>
              </w:rPr>
              <w:t>Weighted-average shares of Class A common stock outstanding —</w:t>
            </w:r>
          </w:p>
        </w:tc>
        <w:tc>
          <w:tcPr>
            <w:tcW w:w="80" w:type="dxa"/>
            <w:vAlign w:val="bottom"/>
            <w:shd w:val="clear" w:color="auto" w:fill="B6B6B6"/>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14,136</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14,580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580" w:type="dxa"/>
            <w:vAlign w:val="bottom"/>
          </w:tcPr>
          <w:p>
            <w:pPr>
              <w:ind w:left="2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B6B6B6"/>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Non-GAAP financial measures:</w:t>
            </w:r>
          </w:p>
        </w:tc>
        <w:tc>
          <w:tcPr>
            <w:tcW w:w="80" w:type="dxa"/>
            <w:vAlign w:val="bottom"/>
            <w:shd w:val="clear" w:color="auto" w:fill="B6B6B6"/>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240"/>
              <w:spacing w:after="0"/>
              <w:rPr>
                <w:sz w:val="20"/>
                <w:szCs w:val="20"/>
                <w:color w:val="auto"/>
              </w:rPr>
            </w:pPr>
            <w:r>
              <w:rPr>
                <w:rFonts w:ascii="Arial" w:cs="Arial" w:eastAsia="Arial" w:hAnsi="Arial"/>
                <w:sz w:val="14"/>
                <w:szCs w:val="14"/>
                <w:color w:val="auto"/>
              </w:rPr>
              <w:t>EBITDA</w:t>
            </w:r>
          </w:p>
        </w:tc>
        <w:tc>
          <w:tcPr>
            <w:tcW w:w="80" w:type="dxa"/>
            <w:vAlign w:val="bottom"/>
            <w:shd w:val="clear" w:color="auto" w:fill="B6B6B6"/>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(262,620)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60,860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240"/>
              <w:spacing w:after="0"/>
              <w:rPr>
                <w:sz w:val="20"/>
                <w:szCs w:val="20"/>
                <w:color w:val="auto"/>
              </w:rPr>
            </w:pPr>
            <w:r>
              <w:rPr>
                <w:rFonts w:ascii="Arial" w:cs="Arial" w:eastAsia="Arial" w:hAnsi="Arial"/>
                <w:sz w:val="14"/>
                <w:szCs w:val="14"/>
                <w:color w:val="auto"/>
              </w:rPr>
              <w:t>Adjusted EBITDA</w:t>
            </w:r>
          </w:p>
        </w:tc>
        <w:tc>
          <w:tcPr>
            <w:tcW w:w="80" w:type="dxa"/>
            <w:vAlign w:val="bottom"/>
            <w:shd w:val="clear" w:color="auto" w:fill="B6B6B6"/>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(47,090)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(12,106)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240"/>
              <w:spacing w:after="0"/>
              <w:rPr>
                <w:sz w:val="20"/>
                <w:szCs w:val="20"/>
                <w:color w:val="auto"/>
              </w:rPr>
            </w:pPr>
            <w:r>
              <w:rPr>
                <w:rFonts w:ascii="Arial" w:cs="Arial" w:eastAsia="Arial" w:hAnsi="Arial"/>
                <w:sz w:val="14"/>
                <w:szCs w:val="14"/>
                <w:color w:val="auto"/>
              </w:rPr>
              <w:t>Net Income (Loss) Margin</w:t>
            </w:r>
          </w:p>
        </w:tc>
        <w:tc>
          <w:tcPr>
            <w:tcW w:w="8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(918.3)%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80" w:type="dxa"/>
            <w:vAlign w:val="bottom"/>
          </w:tcPr>
          <w:p>
            <w:pPr>
              <w:ind w:left="240"/>
              <w:spacing w:after="0"/>
              <w:rPr>
                <w:sz w:val="20"/>
                <w:szCs w:val="20"/>
                <w:color w:val="auto"/>
              </w:rPr>
            </w:pPr>
            <w:r>
              <w:rPr>
                <w:rFonts w:ascii="Arial" w:cs="Arial" w:eastAsia="Arial" w:hAnsi="Arial"/>
                <w:sz w:val="14"/>
                <w:szCs w:val="14"/>
                <w:color w:val="auto"/>
              </w:rPr>
              <w:t>Adjusted EBITDA Margin</w:t>
            </w:r>
          </w:p>
        </w:tc>
        <w:tc>
          <w:tcPr>
            <w:tcW w:w="80" w:type="dxa"/>
            <w:vAlign w:val="bottom"/>
            <w:shd w:val="clear" w:color="auto" w:fill="B6B6B6"/>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(137.7)%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77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6"/>
          </w:tcPr>
          <w:p>
            <w:pPr>
              <w:ind w:left="20"/>
              <w:spacing w:after="0"/>
              <w:rPr>
                <w:sz w:val="20"/>
                <w:szCs w:val="20"/>
                <w:color w:val="auto"/>
              </w:rPr>
            </w:pPr>
            <w:r>
              <w:rPr>
                <w:rFonts w:ascii="Arial" w:cs="Arial" w:eastAsia="Arial" w:hAnsi="Arial"/>
                <w:sz w:val="14"/>
                <w:szCs w:val="14"/>
                <w:color w:val="auto"/>
              </w:rPr>
              <w:t>Nine months ended Sep. 30,</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20" w:type="dxa"/>
            <w:vAlign w:val="bottom"/>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16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gridSpan w:val="3"/>
          </w:tcPr>
          <w:p>
            <w:pPr>
              <w:jc w:val="right"/>
              <w:ind w:right="20"/>
              <w:spacing w:after="0"/>
              <w:rPr>
                <w:sz w:val="20"/>
                <w:szCs w:val="20"/>
                <w:color w:val="auto"/>
              </w:rPr>
            </w:pPr>
            <w:r>
              <w:rPr>
                <w:rFonts w:ascii="Arial" w:cs="Arial" w:eastAsia="Arial" w:hAnsi="Arial"/>
                <w:sz w:val="14"/>
                <w:szCs w:val="14"/>
                <w:color w:val="auto"/>
              </w:rPr>
              <w:t>2025</w:t>
            </w:r>
          </w:p>
        </w:tc>
        <w:tc>
          <w:tcPr>
            <w:tcW w:w="900" w:type="dxa"/>
            <w:vAlign w:val="bottom"/>
            <w:tcBorders>
              <w:bottom w:val="single" w:sz="8" w:color="B6B6B6"/>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B6B6B6"/>
            </w:tcBorders>
          </w:tcPr>
          <w:p>
            <w:pPr>
              <w:spacing w:after="0"/>
              <w:rPr>
                <w:sz w:val="16"/>
                <w:szCs w:val="16"/>
                <w:color w:val="auto"/>
              </w:rPr>
            </w:pPr>
          </w:p>
        </w:tc>
        <w:tc>
          <w:tcPr>
            <w:tcW w:w="1080" w:type="dxa"/>
            <w:vAlign w:val="bottom"/>
            <w:tcBorders>
              <w:bottom w:val="single" w:sz="8" w:color="B6B6B6"/>
            </w:tcBorders>
            <w:gridSpan w:val="3"/>
          </w:tcPr>
          <w:p>
            <w:pPr>
              <w:jc w:val="right"/>
              <w:ind w:right="20"/>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B6B6B6"/>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B6B6B6"/>
            </w:tcBorders>
          </w:tcPr>
          <w:p>
            <w:pPr>
              <w:spacing w:after="0"/>
              <w:rPr>
                <w:sz w:val="16"/>
                <w:szCs w:val="16"/>
                <w:color w:val="auto"/>
              </w:rPr>
            </w:pPr>
          </w:p>
        </w:tc>
        <w:tc>
          <w:tcPr>
            <w:tcW w:w="84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52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 and per share amounts)</w:t>
            </w:r>
          </w:p>
        </w:tc>
        <w:tc>
          <w:tcPr>
            <w:tcW w:w="100" w:type="dxa"/>
            <w:vAlign w:val="bottom"/>
            <w:shd w:val="clear" w:color="auto" w:fill="B6B6B6"/>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vMerge w:val="restart"/>
          </w:tcPr>
          <w:p>
            <w:pPr>
              <w:jc w:val="right"/>
              <w:ind w:right="560"/>
              <w:spacing w:after="0"/>
              <w:rPr>
                <w:sz w:val="20"/>
                <w:szCs w:val="20"/>
                <w:color w:val="auto"/>
              </w:rPr>
            </w:pPr>
            <w:r>
              <w:rPr>
                <w:rFonts w:ascii="Arial" w:cs="Arial" w:eastAsia="Arial" w:hAnsi="Arial"/>
                <w:sz w:val="14"/>
                <w:szCs w:val="14"/>
                <w:color w:val="auto"/>
              </w:rPr>
              <w:t>Dollars</w:t>
            </w:r>
          </w:p>
        </w:tc>
        <w:tc>
          <w:tcPr>
            <w:tcW w:w="980" w:type="dxa"/>
            <w:vAlign w:val="bottom"/>
            <w:gridSpan w:val="2"/>
          </w:tcPr>
          <w:p>
            <w:pPr>
              <w:ind w:left="80"/>
              <w:spacing w:after="0" w:line="151" w:lineRule="exact"/>
              <w:rPr>
                <w:sz w:val="20"/>
                <w:szCs w:val="20"/>
                <w:color w:val="auto"/>
              </w:rPr>
            </w:pPr>
            <w:r>
              <w:rPr>
                <w:rFonts w:ascii="Arial" w:cs="Arial" w:eastAsia="Arial" w:hAnsi="Arial"/>
                <w:sz w:val="14"/>
                <w:szCs w:val="14"/>
                <w:color w:val="auto"/>
              </w:rPr>
              <w:t>% of Net</w:t>
            </w:r>
          </w:p>
        </w:tc>
        <w:tc>
          <w:tcPr>
            <w:tcW w:w="180" w:type="dxa"/>
            <w:vAlign w:val="bottom"/>
          </w:tcPr>
          <w:p>
            <w:pPr>
              <w:spacing w:after="0"/>
              <w:rPr>
                <w:sz w:val="13"/>
                <w:szCs w:val="13"/>
                <w:color w:val="auto"/>
              </w:rPr>
            </w:pPr>
          </w:p>
        </w:tc>
        <w:tc>
          <w:tcPr>
            <w:tcW w:w="1080" w:type="dxa"/>
            <w:vAlign w:val="bottom"/>
            <w:gridSpan w:val="3"/>
            <w:vMerge w:val="restart"/>
          </w:tcPr>
          <w:p>
            <w:pPr>
              <w:jc w:val="right"/>
              <w:ind w:right="560"/>
              <w:spacing w:after="0"/>
              <w:rPr>
                <w:sz w:val="20"/>
                <w:szCs w:val="20"/>
                <w:color w:val="auto"/>
              </w:rPr>
            </w:pPr>
            <w:r>
              <w:rPr>
                <w:rFonts w:ascii="Arial" w:cs="Arial" w:eastAsia="Arial" w:hAnsi="Arial"/>
                <w:sz w:val="14"/>
                <w:szCs w:val="14"/>
                <w:color w:val="auto"/>
              </w:rPr>
              <w:t>Dollars</w:t>
            </w:r>
          </w:p>
        </w:tc>
        <w:tc>
          <w:tcPr>
            <w:tcW w:w="980" w:type="dxa"/>
            <w:vAlign w:val="bottom"/>
            <w:gridSpan w:val="2"/>
          </w:tcPr>
          <w:p>
            <w:pPr>
              <w:jc w:val="center"/>
              <w:ind w:right="300"/>
              <w:spacing w:after="0" w:line="151" w:lineRule="exact"/>
              <w:rPr>
                <w:sz w:val="20"/>
                <w:szCs w:val="20"/>
                <w:color w:val="auto"/>
              </w:rPr>
            </w:pPr>
            <w:r>
              <w:rPr>
                <w:rFonts w:ascii="Arial" w:cs="Arial" w:eastAsia="Arial" w:hAnsi="Arial"/>
                <w:sz w:val="14"/>
                <w:szCs w:val="14"/>
                <w:color w:val="auto"/>
              </w:rPr>
              <w:t>% of Net</w:t>
            </w:r>
          </w:p>
        </w:tc>
        <w:tc>
          <w:tcPr>
            <w:tcW w:w="14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auto"/>
              </w:rPr>
              <w:t>$ Change</w:t>
            </w: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85"/>
        </w:trPr>
        <w:tc>
          <w:tcPr>
            <w:tcW w:w="4520" w:type="dxa"/>
            <w:vAlign w:val="bottom"/>
            <w:vMerge w:val="continue"/>
          </w:tcPr>
          <w:p>
            <w:pPr>
              <w:spacing w:after="0"/>
              <w:rPr>
                <w:sz w:val="16"/>
                <w:szCs w:val="16"/>
                <w:color w:val="auto"/>
              </w:rPr>
            </w:pPr>
          </w:p>
        </w:tc>
        <w:tc>
          <w:tcPr>
            <w:tcW w:w="100" w:type="dxa"/>
            <w:vAlign w:val="bottom"/>
            <w:shd w:val="clear" w:color="auto" w:fill="B6B6B6"/>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Revenues</w:t>
            </w:r>
          </w:p>
        </w:tc>
        <w:tc>
          <w:tcPr>
            <w:tcW w:w="18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color w:val="auto"/>
              </w:rPr>
              <w:t>Revenues</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20" w:type="dxa"/>
            <w:vAlign w:val="bottom"/>
            <w:tcBorders>
              <w:top w:val="single" w:sz="8" w:color="929292"/>
            </w:tcBorders>
          </w:tcPr>
          <w:p>
            <w:pPr>
              <w:ind w:left="20"/>
              <w:spacing w:after="0"/>
              <w:rPr>
                <w:sz w:val="20"/>
                <w:szCs w:val="20"/>
                <w:color w:val="auto"/>
              </w:rPr>
            </w:pPr>
            <w:r>
              <w:rPr>
                <w:rFonts w:ascii="Arial" w:cs="Arial" w:eastAsia="Arial" w:hAnsi="Arial"/>
                <w:sz w:val="14"/>
                <w:szCs w:val="14"/>
                <w:color w:val="auto"/>
              </w:rPr>
              <w:t>Net revenues</w:t>
            </w:r>
          </w:p>
        </w:tc>
        <w:tc>
          <w:tcPr>
            <w:tcW w:w="100" w:type="dxa"/>
            <w:vAlign w:val="bottom"/>
            <w:tcBorders>
              <w:top w:val="single" w:sz="8" w:color="B6B6B6"/>
              <w:bottom w:val="single" w:sz="8" w:color="B6B6B6"/>
            </w:tcBorders>
            <w:shd w:val="clear" w:color="auto" w:fill="B6B6B6"/>
          </w:tcPr>
          <w:p>
            <w:pPr>
              <w:spacing w:after="0"/>
              <w:rPr>
                <w:sz w:val="16"/>
                <w:szCs w:val="16"/>
                <w:color w:val="auto"/>
              </w:rPr>
            </w:pPr>
          </w:p>
        </w:tc>
        <w:tc>
          <w:tcPr>
            <w:tcW w:w="160" w:type="dxa"/>
            <w:vAlign w:val="bottom"/>
            <w:tcBorders>
              <w:top w:val="single" w:sz="8" w:color="929292"/>
              <w:bottom w:val="single" w:sz="8" w:color="929292"/>
            </w:tcBorders>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349,206</w:t>
            </w:r>
          </w:p>
        </w:tc>
        <w:tc>
          <w:tcPr>
            <w:tcW w:w="100" w:type="dxa"/>
            <w:vAlign w:val="bottom"/>
          </w:tcPr>
          <w:p>
            <w:pPr>
              <w:spacing w:after="0"/>
              <w:rPr>
                <w:sz w:val="16"/>
                <w:szCs w:val="16"/>
                <w:color w:val="auto"/>
              </w:rPr>
            </w:pPr>
          </w:p>
        </w:tc>
        <w:tc>
          <w:tcPr>
            <w:tcW w:w="180" w:type="dxa"/>
            <w:vAlign w:val="bottom"/>
            <w:tcBorders>
              <w:top w:val="single" w:sz="8" w:color="929292"/>
              <w:bottom w:val="single" w:sz="8" w:color="929292"/>
            </w:tcBorders>
          </w:tcPr>
          <w:p>
            <w:pPr>
              <w:spacing w:after="0"/>
              <w:rPr>
                <w:sz w:val="16"/>
                <w:szCs w:val="16"/>
                <w:color w:val="auto"/>
              </w:rPr>
            </w:pPr>
          </w:p>
        </w:tc>
        <w:tc>
          <w:tcPr>
            <w:tcW w:w="90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6"/>
                <w:szCs w:val="16"/>
                <w:color w:val="auto"/>
              </w:rPr>
            </w:pPr>
          </w:p>
        </w:tc>
        <w:tc>
          <w:tcPr>
            <w:tcW w:w="180" w:type="dxa"/>
            <w:vAlign w:val="bottom"/>
            <w:tcBorders>
              <w:top w:val="single" w:sz="8" w:color="929292"/>
              <w:bottom w:val="single" w:sz="8" w:color="929292"/>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409,762</w:t>
            </w:r>
          </w:p>
        </w:tc>
        <w:tc>
          <w:tcPr>
            <w:tcW w:w="100" w:type="dxa"/>
            <w:vAlign w:val="bottom"/>
          </w:tcPr>
          <w:p>
            <w:pPr>
              <w:spacing w:after="0"/>
              <w:rPr>
                <w:sz w:val="16"/>
                <w:szCs w:val="16"/>
                <w:color w:val="auto"/>
              </w:rPr>
            </w:pPr>
          </w:p>
        </w:tc>
        <w:tc>
          <w:tcPr>
            <w:tcW w:w="200" w:type="dxa"/>
            <w:vAlign w:val="bottom"/>
            <w:tcBorders>
              <w:top w:val="single" w:sz="8" w:color="929292"/>
              <w:bottom w:val="single" w:sz="8" w:color="929292"/>
            </w:tcBorders>
          </w:tcPr>
          <w:p>
            <w:pPr>
              <w:spacing w:after="0"/>
              <w:rPr>
                <w:sz w:val="16"/>
                <w:szCs w:val="16"/>
                <w:color w:val="auto"/>
              </w:rPr>
            </w:pPr>
          </w:p>
        </w:tc>
        <w:tc>
          <w:tcPr>
            <w:tcW w:w="90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6"/>
                <w:szCs w:val="16"/>
                <w:color w:val="auto"/>
              </w:rPr>
            </w:pPr>
          </w:p>
        </w:tc>
        <w:tc>
          <w:tcPr>
            <w:tcW w:w="14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(60,556)</w:t>
            </w:r>
          </w:p>
        </w:tc>
        <w:tc>
          <w:tcPr>
            <w:tcW w:w="100" w:type="dxa"/>
            <w:vAlign w:val="bottom"/>
          </w:tcPr>
          <w:p>
            <w:pPr>
              <w:spacing w:after="0"/>
              <w:rPr>
                <w:sz w:val="16"/>
                <w:szCs w:val="16"/>
                <w:color w:val="auto"/>
              </w:rPr>
            </w:pPr>
          </w:p>
        </w:tc>
        <w:tc>
          <w:tcPr>
            <w:tcW w:w="106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1"/>
        </w:trPr>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00" w:type="dxa"/>
            <w:vAlign w:val="bottom"/>
            <w:shd w:val="clear" w:color="auto" w:fill="B6B6B6"/>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40"/>
              <w:spacing w:after="0"/>
              <w:rPr>
                <w:sz w:val="20"/>
                <w:szCs w:val="20"/>
                <w:color w:val="auto"/>
              </w:rPr>
            </w:pPr>
            <w:r>
              <w:rPr>
                <w:rFonts w:ascii="Arial" w:cs="Arial" w:eastAsia="Arial" w:hAnsi="Arial"/>
                <w:sz w:val="14"/>
                <w:szCs w:val="14"/>
                <w:color w:val="auto"/>
              </w:rPr>
              <w:t>Revenue share</w:t>
            </w:r>
          </w:p>
        </w:tc>
        <w:tc>
          <w:tcPr>
            <w:tcW w:w="10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91,777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26.3 %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78,376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19.1 %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13,401</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17.1 %</w:t>
            </w:r>
          </w:p>
        </w:tc>
        <w:tc>
          <w:tcPr>
            <w:tcW w:w="0" w:type="dxa"/>
            <w:vAlign w:val="bottom"/>
          </w:tcPr>
          <w:p>
            <w:pPr>
              <w:spacing w:after="0"/>
              <w:rPr>
                <w:sz w:val="1"/>
                <w:szCs w:val="1"/>
                <w:color w:val="auto"/>
              </w:rPr>
            </w:pPr>
          </w:p>
        </w:tc>
      </w:tr>
      <w:tr>
        <w:trPr>
          <w:trHeight w:val="203"/>
        </w:trPr>
        <w:tc>
          <w:tcPr>
            <w:tcW w:w="4520" w:type="dxa"/>
            <w:vAlign w:val="bottom"/>
          </w:tcPr>
          <w:p>
            <w:pPr>
              <w:ind w:left="24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112,937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32.3 %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136,049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33.2 %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(23,112)</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02"/>
        </w:trPr>
        <w:tc>
          <w:tcPr>
            <w:tcW w:w="4520" w:type="dxa"/>
            <w:vAlign w:val="bottom"/>
          </w:tcPr>
          <w:p>
            <w:pPr>
              <w:ind w:left="240"/>
              <w:spacing w:after="0"/>
              <w:rPr>
                <w:sz w:val="20"/>
                <w:szCs w:val="20"/>
                <w:color w:val="auto"/>
              </w:rPr>
            </w:pPr>
            <w:r>
              <w:rPr>
                <w:rFonts w:ascii="Arial" w:cs="Arial" w:eastAsia="Arial" w:hAnsi="Arial"/>
                <w:sz w:val="14"/>
                <w:szCs w:val="14"/>
                <w:color w:val="auto"/>
              </w:rPr>
              <w:t>Consumer care and enrollment</w:t>
            </w:r>
          </w:p>
        </w:tc>
        <w:tc>
          <w:tcPr>
            <w:tcW w:w="10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95,119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27.2 %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132,731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32.4 %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(37,612)</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03"/>
        </w:trPr>
        <w:tc>
          <w:tcPr>
            <w:tcW w:w="4520" w:type="dxa"/>
            <w:vAlign w:val="bottom"/>
          </w:tcPr>
          <w:p>
            <w:pPr>
              <w:ind w:left="24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27,220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7.8 %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28,921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(1,701)</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3"/>
        </w:trPr>
        <w:tc>
          <w:tcPr>
            <w:tcW w:w="452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72,284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20.7 %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50,457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21,827</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43.3 %</w:t>
            </w:r>
          </w:p>
        </w:tc>
        <w:tc>
          <w:tcPr>
            <w:tcW w:w="0" w:type="dxa"/>
            <w:vAlign w:val="bottom"/>
          </w:tcPr>
          <w:p>
            <w:pPr>
              <w:spacing w:after="0"/>
              <w:rPr>
                <w:sz w:val="1"/>
                <w:szCs w:val="1"/>
                <w:color w:val="auto"/>
              </w:rPr>
            </w:pPr>
          </w:p>
        </w:tc>
      </w:tr>
      <w:tr>
        <w:trPr>
          <w:trHeight w:val="203"/>
        </w:trPr>
        <w:tc>
          <w:tcPr>
            <w:tcW w:w="452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10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70,542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20.2 %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70,542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17.2 %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4"/>
        </w:trPr>
        <w:tc>
          <w:tcPr>
            <w:tcW w:w="4520" w:type="dxa"/>
            <w:vAlign w:val="bottom"/>
          </w:tcPr>
          <w:p>
            <w:pPr>
              <w:ind w:left="240"/>
              <w:spacing w:after="0"/>
              <w:rPr>
                <w:sz w:val="20"/>
                <w:szCs w:val="20"/>
                <w:color w:val="auto"/>
              </w:rPr>
            </w:pPr>
            <w:r>
              <w:rPr>
                <w:rFonts w:ascii="Arial" w:cs="Arial" w:eastAsia="Arial" w:hAnsi="Arial"/>
                <w:sz w:val="14"/>
                <w:szCs w:val="14"/>
                <w:color w:val="auto"/>
              </w:rPr>
              <w:t>Indefinite and long-lived asset impairment charges</w:t>
            </w:r>
          </w:p>
        </w:tc>
        <w:tc>
          <w:tcPr>
            <w:tcW w:w="10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259,961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74.4 %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259,961</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NM</w:t>
            </w:r>
          </w:p>
        </w:tc>
        <w:tc>
          <w:tcPr>
            <w:tcW w:w="0" w:type="dxa"/>
            <w:vAlign w:val="bottom"/>
          </w:tcPr>
          <w:p>
            <w:pPr>
              <w:spacing w:after="0"/>
              <w:rPr>
                <w:sz w:val="1"/>
                <w:szCs w:val="1"/>
                <w:color w:val="auto"/>
              </w:rPr>
            </w:pPr>
          </w:p>
        </w:tc>
      </w:tr>
      <w:tr>
        <w:trPr>
          <w:trHeight w:val="196"/>
        </w:trPr>
        <w:tc>
          <w:tcPr>
            <w:tcW w:w="452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top w:val="single" w:sz="8" w:color="B6B6B6"/>
              <w:bottom w:val="single" w:sz="8" w:color="B6B6B6"/>
            </w:tcBorders>
            <w:shd w:val="clear" w:color="auto" w:fill="B6B6B6"/>
          </w:tcPr>
          <w:p>
            <w:pPr>
              <w:spacing w:after="0"/>
              <w:rPr>
                <w:sz w:val="17"/>
                <w:szCs w:val="17"/>
                <w:color w:val="auto"/>
              </w:rPr>
            </w:pPr>
          </w:p>
        </w:tc>
        <w:tc>
          <w:tcPr>
            <w:tcW w:w="160" w:type="dxa"/>
            <w:vAlign w:val="bottom"/>
            <w:tcBorders>
              <w:top w:val="single" w:sz="8" w:color="929292"/>
              <w:bottom w:val="single" w:sz="8" w:color="929292"/>
            </w:tcBorders>
          </w:tcPr>
          <w:p>
            <w:pPr>
              <w:spacing w:after="0"/>
              <w:rPr>
                <w:sz w:val="17"/>
                <w:szCs w:val="17"/>
                <w:color w:val="auto"/>
              </w:rPr>
            </w:pPr>
          </w:p>
        </w:tc>
        <w:tc>
          <w:tcPr>
            <w:tcW w:w="82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729,840</w:t>
            </w:r>
          </w:p>
        </w:tc>
        <w:tc>
          <w:tcPr>
            <w:tcW w:w="100" w:type="dxa"/>
            <w:vAlign w:val="bottom"/>
          </w:tcPr>
          <w:p>
            <w:pPr>
              <w:spacing w:after="0"/>
              <w:rPr>
                <w:sz w:val="17"/>
                <w:szCs w:val="17"/>
                <w:color w:val="auto"/>
              </w:rPr>
            </w:pPr>
          </w:p>
        </w:tc>
        <w:tc>
          <w:tcPr>
            <w:tcW w:w="180" w:type="dxa"/>
            <w:vAlign w:val="bottom"/>
            <w:tcBorders>
              <w:top w:val="single" w:sz="8" w:color="929292"/>
              <w:bottom w:val="single" w:sz="8" w:color="929292"/>
            </w:tcBorders>
          </w:tcPr>
          <w:p>
            <w:pPr>
              <w:spacing w:after="0"/>
              <w:rPr>
                <w:sz w:val="17"/>
                <w:szCs w:val="17"/>
                <w:color w:val="auto"/>
              </w:rPr>
            </w:pPr>
          </w:p>
        </w:tc>
        <w:tc>
          <w:tcPr>
            <w:tcW w:w="90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209.0 %</w:t>
            </w:r>
          </w:p>
        </w:tc>
        <w:tc>
          <w:tcPr>
            <w:tcW w:w="80" w:type="dxa"/>
            <w:vAlign w:val="bottom"/>
          </w:tcPr>
          <w:p>
            <w:pPr>
              <w:spacing w:after="0"/>
              <w:rPr>
                <w:sz w:val="17"/>
                <w:szCs w:val="17"/>
                <w:color w:val="auto"/>
              </w:rPr>
            </w:pPr>
          </w:p>
        </w:tc>
        <w:tc>
          <w:tcPr>
            <w:tcW w:w="180" w:type="dxa"/>
            <w:vAlign w:val="bottom"/>
            <w:tcBorders>
              <w:top w:val="single" w:sz="8" w:color="929292"/>
              <w:bottom w:val="single" w:sz="8" w:color="929292"/>
            </w:tcBorders>
          </w:tcPr>
          <w:p>
            <w:pPr>
              <w:spacing w:after="0"/>
              <w:rPr>
                <w:sz w:val="17"/>
                <w:szCs w:val="17"/>
                <w:color w:val="auto"/>
              </w:rPr>
            </w:pPr>
          </w:p>
        </w:tc>
        <w:tc>
          <w:tcPr>
            <w:tcW w:w="78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497,076</w:t>
            </w:r>
          </w:p>
        </w:tc>
        <w:tc>
          <w:tcPr>
            <w:tcW w:w="100" w:type="dxa"/>
            <w:vAlign w:val="bottom"/>
          </w:tcPr>
          <w:p>
            <w:pPr>
              <w:spacing w:after="0"/>
              <w:rPr>
                <w:sz w:val="17"/>
                <w:szCs w:val="17"/>
                <w:color w:val="auto"/>
              </w:rPr>
            </w:pPr>
          </w:p>
        </w:tc>
        <w:tc>
          <w:tcPr>
            <w:tcW w:w="200" w:type="dxa"/>
            <w:vAlign w:val="bottom"/>
            <w:tcBorders>
              <w:top w:val="single" w:sz="8" w:color="929292"/>
              <w:bottom w:val="single" w:sz="8" w:color="929292"/>
            </w:tcBorders>
          </w:tcPr>
          <w:p>
            <w:pPr>
              <w:spacing w:after="0"/>
              <w:rPr>
                <w:sz w:val="17"/>
                <w:szCs w:val="17"/>
                <w:color w:val="auto"/>
              </w:rPr>
            </w:pPr>
          </w:p>
        </w:tc>
        <w:tc>
          <w:tcPr>
            <w:tcW w:w="90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121.3 %</w:t>
            </w:r>
          </w:p>
        </w:tc>
        <w:tc>
          <w:tcPr>
            <w:tcW w:w="80" w:type="dxa"/>
            <w:vAlign w:val="bottom"/>
          </w:tcPr>
          <w:p>
            <w:pPr>
              <w:spacing w:after="0"/>
              <w:rPr>
                <w:sz w:val="17"/>
                <w:szCs w:val="17"/>
                <w:color w:val="auto"/>
              </w:rPr>
            </w:pPr>
          </w:p>
        </w:tc>
        <w:tc>
          <w:tcPr>
            <w:tcW w:w="140" w:type="dxa"/>
            <w:vAlign w:val="bottom"/>
            <w:tcBorders>
              <w:top w:val="single" w:sz="8" w:color="929292"/>
              <w:bottom w:val="single" w:sz="8" w:color="929292"/>
            </w:tcBorders>
          </w:tcPr>
          <w:p>
            <w:pPr>
              <w:spacing w:after="0"/>
              <w:rPr>
                <w:sz w:val="17"/>
                <w:szCs w:val="17"/>
                <w:color w:val="auto"/>
              </w:rPr>
            </w:pPr>
          </w:p>
        </w:tc>
        <w:tc>
          <w:tcPr>
            <w:tcW w:w="84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232,764</w:t>
            </w:r>
          </w:p>
        </w:tc>
        <w:tc>
          <w:tcPr>
            <w:tcW w:w="100" w:type="dxa"/>
            <w:vAlign w:val="bottom"/>
          </w:tcPr>
          <w:p>
            <w:pPr>
              <w:spacing w:after="0"/>
              <w:rPr>
                <w:sz w:val="17"/>
                <w:szCs w:val="17"/>
                <w:color w:val="auto"/>
              </w:rPr>
            </w:pPr>
          </w:p>
        </w:tc>
        <w:tc>
          <w:tcPr>
            <w:tcW w:w="106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46.8 %</w:t>
            </w:r>
          </w:p>
        </w:tc>
        <w:tc>
          <w:tcPr>
            <w:tcW w:w="0" w:type="dxa"/>
            <w:vAlign w:val="bottom"/>
          </w:tcPr>
          <w:p>
            <w:pPr>
              <w:spacing w:after="0"/>
              <w:rPr>
                <w:sz w:val="1"/>
                <w:szCs w:val="1"/>
                <w:color w:val="auto"/>
              </w:rPr>
            </w:pPr>
          </w:p>
        </w:tc>
      </w:tr>
      <w:tr>
        <w:trPr>
          <w:trHeight w:val="194"/>
        </w:trPr>
        <w:tc>
          <w:tcPr>
            <w:tcW w:w="452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B6B6B6"/>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(380,634)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(109.0)%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(87,314)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(293,320)</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335.9 %</w:t>
            </w:r>
          </w:p>
        </w:tc>
        <w:tc>
          <w:tcPr>
            <w:tcW w:w="0" w:type="dxa"/>
            <w:vAlign w:val="bottom"/>
          </w:tcPr>
          <w:p>
            <w:pPr>
              <w:spacing w:after="0"/>
              <w:rPr>
                <w:sz w:val="1"/>
                <w:szCs w:val="1"/>
                <w:color w:val="auto"/>
              </w:rPr>
            </w:pPr>
          </w:p>
        </w:tc>
      </w:tr>
      <w:tr>
        <w:trPr>
          <w:trHeight w:val="203"/>
        </w:trPr>
        <w:tc>
          <w:tcPr>
            <w:tcW w:w="45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57,661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16.5 %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55,133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203"/>
        </w:trPr>
        <w:tc>
          <w:tcPr>
            <w:tcW w:w="45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0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0.5 %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1,655</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NM</w:t>
            </w:r>
          </w:p>
        </w:tc>
        <w:tc>
          <w:tcPr>
            <w:tcW w:w="0" w:type="dxa"/>
            <w:vAlign w:val="bottom"/>
          </w:tcPr>
          <w:p>
            <w:pPr>
              <w:spacing w:after="0"/>
              <w:rPr>
                <w:sz w:val="1"/>
                <w:szCs w:val="1"/>
                <w:color w:val="auto"/>
              </w:rPr>
            </w:pPr>
          </w:p>
        </w:tc>
      </w:tr>
      <w:tr>
        <w:trPr>
          <w:trHeight w:val="203"/>
        </w:trPr>
        <w:tc>
          <w:tcPr>
            <w:tcW w:w="4520" w:type="dxa"/>
            <w:vAlign w:val="bottom"/>
          </w:tcPr>
          <w:p>
            <w:pPr>
              <w:ind w:left="20"/>
              <w:spacing w:after="0"/>
              <w:rPr>
                <w:sz w:val="20"/>
                <w:szCs w:val="20"/>
                <w:color w:val="auto"/>
              </w:rPr>
            </w:pPr>
            <w:r>
              <w:rPr>
                <w:rFonts w:ascii="Arial" w:cs="Arial" w:eastAsia="Arial" w:hAnsi="Arial"/>
                <w:sz w:val="14"/>
                <w:szCs w:val="14"/>
                <w:color w:val="auto"/>
              </w:rPr>
              <w:t>Gain on bargain purchase</w:t>
            </w:r>
          </w:p>
        </w:tc>
        <w:tc>
          <w:tcPr>
            <w:tcW w:w="10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(77,363)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77,363</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4"/>
        </w:trPr>
        <w:tc>
          <w:tcPr>
            <w:tcW w:w="452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tcBorders>
              <w:bottom w:val="single" w:sz="8" w:color="B6B6B6"/>
            </w:tcBorders>
            <w:shd w:val="clear" w:color="auto" w:fill="B6B6B6"/>
          </w:tcPr>
          <w:p>
            <w:pPr>
              <w:spacing w:after="0"/>
              <w:rPr>
                <w:sz w:val="17"/>
                <w:szCs w:val="17"/>
                <w:color w:val="auto"/>
              </w:rPr>
            </w:pPr>
          </w:p>
        </w:tc>
        <w:tc>
          <w:tcPr>
            <w:tcW w:w="160" w:type="dxa"/>
            <w:vAlign w:val="bottom"/>
            <w:tcBorders>
              <w:bottom w:val="single" w:sz="8" w:color="929292"/>
            </w:tcBorders>
          </w:tcPr>
          <w:p>
            <w:pPr>
              <w:spacing w:after="0"/>
              <w:rPr>
                <w:sz w:val="17"/>
                <w:szCs w:val="17"/>
                <w:color w:val="auto"/>
              </w:rPr>
            </w:pPr>
          </w:p>
        </w:tc>
        <w:tc>
          <w:tcPr>
            <w:tcW w:w="8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17"/>
                <w:szCs w:val="17"/>
                <w:color w:val="auto"/>
              </w:rPr>
            </w:pPr>
          </w:p>
        </w:tc>
        <w:tc>
          <w:tcPr>
            <w:tcW w:w="180" w:type="dxa"/>
            <w:vAlign w:val="bottom"/>
            <w:tcBorders>
              <w:bottom w:val="single" w:sz="8" w:color="929292"/>
            </w:tcBorders>
          </w:tcPr>
          <w:p>
            <w:pPr>
              <w:spacing w:after="0"/>
              <w:rPr>
                <w:sz w:val="17"/>
                <w:szCs w:val="17"/>
                <w:color w:val="auto"/>
              </w:rPr>
            </w:pPr>
          </w:p>
        </w:tc>
        <w:tc>
          <w:tcPr>
            <w:tcW w:w="9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180" w:type="dxa"/>
            <w:vAlign w:val="bottom"/>
            <w:tcBorders>
              <w:bottom w:val="single" w:sz="8" w:color="929292"/>
            </w:tcBorders>
          </w:tcPr>
          <w:p>
            <w:pPr>
              <w:spacing w:after="0"/>
              <w:rPr>
                <w:sz w:val="17"/>
                <w:szCs w:val="17"/>
                <w:color w:val="auto"/>
              </w:rPr>
            </w:pPr>
          </w:p>
        </w:tc>
        <w:tc>
          <w:tcPr>
            <w:tcW w:w="7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7"/>
                <w:szCs w:val="17"/>
                <w:color w:val="auto"/>
              </w:rPr>
            </w:pPr>
          </w:p>
        </w:tc>
        <w:tc>
          <w:tcPr>
            <w:tcW w:w="200" w:type="dxa"/>
            <w:vAlign w:val="bottom"/>
            <w:tcBorders>
              <w:bottom w:val="single" w:sz="8" w:color="929292"/>
            </w:tcBorders>
          </w:tcPr>
          <w:p>
            <w:pPr>
              <w:spacing w:after="0"/>
              <w:rPr>
                <w:sz w:val="17"/>
                <w:szCs w:val="17"/>
                <w:color w:val="auto"/>
              </w:rPr>
            </w:pPr>
          </w:p>
        </w:tc>
        <w:tc>
          <w:tcPr>
            <w:tcW w:w="9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17"/>
                <w:szCs w:val="17"/>
                <w:color w:val="auto"/>
              </w:rPr>
            </w:pPr>
          </w:p>
        </w:tc>
        <w:tc>
          <w:tcPr>
            <w:tcW w:w="140" w:type="dxa"/>
            <w:vAlign w:val="bottom"/>
            <w:tcBorders>
              <w:bottom w:val="single" w:sz="8" w:color="929292"/>
            </w:tcBorders>
          </w:tcPr>
          <w:p>
            <w:pPr>
              <w:spacing w:after="0"/>
              <w:rPr>
                <w:sz w:val="17"/>
                <w:szCs w:val="17"/>
                <w:color w:val="auto"/>
              </w:rPr>
            </w:pPr>
          </w:p>
        </w:tc>
        <w:tc>
          <w:tcPr>
            <w:tcW w:w="8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7"/>
                <w:szCs w:val="17"/>
                <w:color w:val="auto"/>
              </w:rPr>
            </w:pPr>
          </w:p>
        </w:tc>
        <w:tc>
          <w:tcPr>
            <w:tcW w:w="10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(256.6)%</w:t>
            </w:r>
          </w:p>
        </w:tc>
        <w:tc>
          <w:tcPr>
            <w:tcW w:w="0" w:type="dxa"/>
            <w:vAlign w:val="bottom"/>
          </w:tcPr>
          <w:p>
            <w:pPr>
              <w:spacing w:after="0"/>
              <w:rPr>
                <w:sz w:val="1"/>
                <w:szCs w:val="1"/>
                <w:color w:val="auto"/>
              </w:rPr>
            </w:pPr>
          </w:p>
        </w:tc>
      </w:tr>
      <w:tr>
        <w:trPr>
          <w:trHeight w:val="196"/>
        </w:trPr>
        <w:tc>
          <w:tcPr>
            <w:tcW w:w="452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tcBorders>
              <w:bottom w:val="single" w:sz="8" w:color="B6B6B6"/>
            </w:tcBorders>
            <w:shd w:val="clear" w:color="auto" w:fill="B6B6B6"/>
          </w:tcPr>
          <w:p>
            <w:pPr>
              <w:spacing w:after="0"/>
              <w:rPr>
                <w:sz w:val="17"/>
                <w:szCs w:val="17"/>
                <w:color w:val="auto"/>
              </w:rPr>
            </w:pPr>
          </w:p>
        </w:tc>
        <w:tc>
          <w:tcPr>
            <w:tcW w:w="160" w:type="dxa"/>
            <w:vAlign w:val="bottom"/>
            <w:tcBorders>
              <w:bottom w:val="single" w:sz="8" w:color="929292"/>
            </w:tcBorders>
          </w:tcPr>
          <w:p>
            <w:pPr>
              <w:spacing w:after="0"/>
              <w:rPr>
                <w:sz w:val="17"/>
                <w:szCs w:val="17"/>
                <w:color w:val="auto"/>
              </w:rPr>
            </w:pPr>
          </w:p>
        </w:tc>
        <w:tc>
          <w:tcPr>
            <w:tcW w:w="8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(439,430)</w:t>
            </w:r>
          </w:p>
        </w:tc>
        <w:tc>
          <w:tcPr>
            <w:tcW w:w="100" w:type="dxa"/>
            <w:vAlign w:val="bottom"/>
          </w:tcPr>
          <w:p>
            <w:pPr>
              <w:spacing w:after="0"/>
              <w:rPr>
                <w:sz w:val="17"/>
                <w:szCs w:val="17"/>
                <w:color w:val="auto"/>
              </w:rPr>
            </w:pPr>
          </w:p>
        </w:tc>
        <w:tc>
          <w:tcPr>
            <w:tcW w:w="180" w:type="dxa"/>
            <w:vAlign w:val="bottom"/>
            <w:tcBorders>
              <w:bottom w:val="single" w:sz="8" w:color="929292"/>
            </w:tcBorders>
          </w:tcPr>
          <w:p>
            <w:pPr>
              <w:spacing w:after="0"/>
              <w:rPr>
                <w:sz w:val="17"/>
                <w:szCs w:val="17"/>
                <w:color w:val="auto"/>
              </w:rPr>
            </w:pPr>
          </w:p>
        </w:tc>
        <w:tc>
          <w:tcPr>
            <w:tcW w:w="9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(125.8)%</w:t>
            </w:r>
          </w:p>
        </w:tc>
        <w:tc>
          <w:tcPr>
            <w:tcW w:w="80" w:type="dxa"/>
            <w:vAlign w:val="bottom"/>
          </w:tcPr>
          <w:p>
            <w:pPr>
              <w:spacing w:after="0"/>
              <w:rPr>
                <w:sz w:val="17"/>
                <w:szCs w:val="17"/>
                <w:color w:val="auto"/>
              </w:rPr>
            </w:pPr>
          </w:p>
        </w:tc>
        <w:tc>
          <w:tcPr>
            <w:tcW w:w="180" w:type="dxa"/>
            <w:vAlign w:val="bottom"/>
            <w:tcBorders>
              <w:bottom w:val="single" w:sz="8" w:color="929292"/>
            </w:tcBorders>
          </w:tcPr>
          <w:p>
            <w:pPr>
              <w:spacing w:after="0"/>
              <w:rPr>
                <w:sz w:val="17"/>
                <w:szCs w:val="17"/>
                <w:color w:val="auto"/>
              </w:rPr>
            </w:pPr>
          </w:p>
        </w:tc>
        <w:tc>
          <w:tcPr>
            <w:tcW w:w="7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(65,416)</w:t>
            </w:r>
          </w:p>
        </w:tc>
        <w:tc>
          <w:tcPr>
            <w:tcW w:w="100" w:type="dxa"/>
            <w:vAlign w:val="bottom"/>
          </w:tcPr>
          <w:p>
            <w:pPr>
              <w:spacing w:after="0"/>
              <w:rPr>
                <w:sz w:val="17"/>
                <w:szCs w:val="17"/>
                <w:color w:val="auto"/>
              </w:rPr>
            </w:pPr>
          </w:p>
        </w:tc>
        <w:tc>
          <w:tcPr>
            <w:tcW w:w="200" w:type="dxa"/>
            <w:vAlign w:val="bottom"/>
            <w:tcBorders>
              <w:bottom w:val="single" w:sz="8" w:color="929292"/>
            </w:tcBorders>
          </w:tcPr>
          <w:p>
            <w:pPr>
              <w:spacing w:after="0"/>
              <w:rPr>
                <w:sz w:val="17"/>
                <w:szCs w:val="17"/>
                <w:color w:val="auto"/>
              </w:rPr>
            </w:pPr>
          </w:p>
        </w:tc>
        <w:tc>
          <w:tcPr>
            <w:tcW w:w="9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7"/>
                <w:szCs w:val="17"/>
                <w:color w:val="auto"/>
              </w:rPr>
            </w:pPr>
          </w:p>
        </w:tc>
        <w:tc>
          <w:tcPr>
            <w:tcW w:w="140" w:type="dxa"/>
            <w:vAlign w:val="bottom"/>
            <w:tcBorders>
              <w:bottom w:val="single" w:sz="8" w:color="929292"/>
            </w:tcBorders>
          </w:tcPr>
          <w:p>
            <w:pPr>
              <w:spacing w:after="0"/>
              <w:rPr>
                <w:sz w:val="17"/>
                <w:szCs w:val="17"/>
                <w:color w:val="auto"/>
              </w:rPr>
            </w:pPr>
          </w:p>
        </w:tc>
        <w:tc>
          <w:tcPr>
            <w:tcW w:w="8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(374,014)</w:t>
            </w:r>
          </w:p>
        </w:tc>
        <w:tc>
          <w:tcPr>
            <w:tcW w:w="100" w:type="dxa"/>
            <w:vAlign w:val="bottom"/>
          </w:tcPr>
          <w:p>
            <w:pPr>
              <w:spacing w:after="0"/>
              <w:rPr>
                <w:sz w:val="17"/>
                <w:szCs w:val="17"/>
                <w:color w:val="auto"/>
              </w:rPr>
            </w:pPr>
          </w:p>
        </w:tc>
        <w:tc>
          <w:tcPr>
            <w:tcW w:w="10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571.7 %</w:t>
            </w:r>
          </w:p>
        </w:tc>
        <w:tc>
          <w:tcPr>
            <w:tcW w:w="0" w:type="dxa"/>
            <w:vAlign w:val="bottom"/>
          </w:tcPr>
          <w:p>
            <w:pPr>
              <w:spacing w:after="0"/>
              <w:rPr>
                <w:sz w:val="1"/>
                <w:szCs w:val="1"/>
                <w:color w:val="auto"/>
              </w:rPr>
            </w:pPr>
          </w:p>
        </w:tc>
      </w:tr>
      <w:tr>
        <w:trPr>
          <w:trHeight w:val="196"/>
        </w:trPr>
        <w:tc>
          <w:tcPr>
            <w:tcW w:w="452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(315.6)%</w:t>
            </w:r>
          </w:p>
        </w:tc>
        <w:tc>
          <w:tcPr>
            <w:tcW w:w="0" w:type="dxa"/>
            <w:vAlign w:val="bottom"/>
          </w:tcPr>
          <w:p>
            <w:pPr>
              <w:spacing w:after="0"/>
              <w:rPr>
                <w:sz w:val="1"/>
                <w:szCs w:val="1"/>
                <w:color w:val="auto"/>
              </w:rPr>
            </w:pPr>
          </w:p>
        </w:tc>
      </w:tr>
      <w:tr>
        <w:trPr>
          <w:trHeight w:val="196"/>
        </w:trPr>
        <w:tc>
          <w:tcPr>
            <w:tcW w:w="45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B6B6B6"/>
              <w:bottom w:val="single" w:sz="8" w:color="B6B6B6"/>
            </w:tcBorders>
            <w:shd w:val="clear" w:color="auto" w:fill="B6B6B6"/>
          </w:tcPr>
          <w:p>
            <w:pPr>
              <w:spacing w:after="0"/>
              <w:rPr>
                <w:sz w:val="17"/>
                <w:szCs w:val="17"/>
                <w:color w:val="auto"/>
              </w:rPr>
            </w:pPr>
          </w:p>
        </w:tc>
        <w:tc>
          <w:tcPr>
            <w:tcW w:w="160" w:type="dxa"/>
            <w:vAlign w:val="bottom"/>
            <w:tcBorders>
              <w:top w:val="single" w:sz="8" w:color="929292"/>
              <w:bottom w:val="single" w:sz="8" w:color="929292"/>
            </w:tcBorders>
          </w:tcPr>
          <w:p>
            <w:pPr>
              <w:spacing w:after="0"/>
              <w:rPr>
                <w:sz w:val="17"/>
                <w:szCs w:val="17"/>
                <w:color w:val="auto"/>
              </w:rPr>
            </w:pPr>
          </w:p>
        </w:tc>
        <w:tc>
          <w:tcPr>
            <w:tcW w:w="82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(439,693)</w:t>
            </w:r>
          </w:p>
        </w:tc>
        <w:tc>
          <w:tcPr>
            <w:tcW w:w="100" w:type="dxa"/>
            <w:vAlign w:val="bottom"/>
          </w:tcPr>
          <w:p>
            <w:pPr>
              <w:spacing w:after="0"/>
              <w:rPr>
                <w:sz w:val="17"/>
                <w:szCs w:val="17"/>
                <w:color w:val="auto"/>
              </w:rPr>
            </w:pPr>
          </w:p>
        </w:tc>
        <w:tc>
          <w:tcPr>
            <w:tcW w:w="180" w:type="dxa"/>
            <w:vAlign w:val="bottom"/>
            <w:tcBorders>
              <w:top w:val="single" w:sz="8" w:color="929292"/>
              <w:bottom w:val="single" w:sz="8" w:color="929292"/>
            </w:tcBorders>
          </w:tcPr>
          <w:p>
            <w:pPr>
              <w:spacing w:after="0"/>
              <w:rPr>
                <w:sz w:val="17"/>
                <w:szCs w:val="17"/>
                <w:color w:val="auto"/>
              </w:rPr>
            </w:pPr>
          </w:p>
        </w:tc>
        <w:tc>
          <w:tcPr>
            <w:tcW w:w="90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(125.9)%</w:t>
            </w:r>
          </w:p>
        </w:tc>
        <w:tc>
          <w:tcPr>
            <w:tcW w:w="80" w:type="dxa"/>
            <w:vAlign w:val="bottom"/>
          </w:tcPr>
          <w:p>
            <w:pPr>
              <w:spacing w:after="0"/>
              <w:rPr>
                <w:sz w:val="17"/>
                <w:szCs w:val="17"/>
                <w:color w:val="auto"/>
              </w:rPr>
            </w:pPr>
          </w:p>
        </w:tc>
        <w:tc>
          <w:tcPr>
            <w:tcW w:w="180" w:type="dxa"/>
            <w:vAlign w:val="bottom"/>
            <w:tcBorders>
              <w:top w:val="single" w:sz="8" w:color="929292"/>
              <w:bottom w:val="single" w:sz="8" w:color="929292"/>
            </w:tcBorders>
          </w:tcPr>
          <w:p>
            <w:pPr>
              <w:spacing w:after="0"/>
              <w:rPr>
                <w:sz w:val="17"/>
                <w:szCs w:val="17"/>
                <w:color w:val="auto"/>
              </w:rPr>
            </w:pPr>
          </w:p>
        </w:tc>
        <w:tc>
          <w:tcPr>
            <w:tcW w:w="78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(65,294)</w:t>
            </w:r>
          </w:p>
        </w:tc>
        <w:tc>
          <w:tcPr>
            <w:tcW w:w="100" w:type="dxa"/>
            <w:vAlign w:val="bottom"/>
          </w:tcPr>
          <w:p>
            <w:pPr>
              <w:spacing w:after="0"/>
              <w:rPr>
                <w:sz w:val="17"/>
                <w:szCs w:val="17"/>
                <w:color w:val="auto"/>
              </w:rPr>
            </w:pPr>
          </w:p>
        </w:tc>
        <w:tc>
          <w:tcPr>
            <w:tcW w:w="200" w:type="dxa"/>
            <w:vAlign w:val="bottom"/>
            <w:tcBorders>
              <w:top w:val="single" w:sz="8" w:color="929292"/>
              <w:bottom w:val="single" w:sz="8" w:color="929292"/>
            </w:tcBorders>
          </w:tcPr>
          <w:p>
            <w:pPr>
              <w:spacing w:after="0"/>
              <w:rPr>
                <w:sz w:val="17"/>
                <w:szCs w:val="17"/>
                <w:color w:val="auto"/>
              </w:rPr>
            </w:pPr>
          </w:p>
        </w:tc>
        <w:tc>
          <w:tcPr>
            <w:tcW w:w="90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7"/>
                <w:szCs w:val="17"/>
                <w:color w:val="auto"/>
              </w:rPr>
            </w:pPr>
          </w:p>
        </w:tc>
        <w:tc>
          <w:tcPr>
            <w:tcW w:w="140" w:type="dxa"/>
            <w:vAlign w:val="bottom"/>
            <w:tcBorders>
              <w:top w:val="single" w:sz="8" w:color="929292"/>
              <w:bottom w:val="single" w:sz="8" w:color="929292"/>
            </w:tcBorders>
          </w:tcPr>
          <w:p>
            <w:pPr>
              <w:spacing w:after="0"/>
              <w:rPr>
                <w:sz w:val="17"/>
                <w:szCs w:val="17"/>
                <w:color w:val="auto"/>
              </w:rPr>
            </w:pPr>
          </w:p>
        </w:tc>
        <w:tc>
          <w:tcPr>
            <w:tcW w:w="84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(374,399)</w:t>
            </w:r>
          </w:p>
        </w:tc>
        <w:tc>
          <w:tcPr>
            <w:tcW w:w="100" w:type="dxa"/>
            <w:vAlign w:val="bottom"/>
          </w:tcPr>
          <w:p>
            <w:pPr>
              <w:spacing w:after="0"/>
              <w:rPr>
                <w:sz w:val="17"/>
                <w:szCs w:val="17"/>
                <w:color w:val="auto"/>
              </w:rPr>
            </w:pPr>
          </w:p>
        </w:tc>
        <w:tc>
          <w:tcPr>
            <w:tcW w:w="106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573.4 %</w:t>
            </w:r>
          </w:p>
        </w:tc>
        <w:tc>
          <w:tcPr>
            <w:tcW w:w="0" w:type="dxa"/>
            <w:vAlign w:val="bottom"/>
          </w:tcPr>
          <w:p>
            <w:pPr>
              <w:spacing w:after="0"/>
              <w:rPr>
                <w:sz w:val="1"/>
                <w:szCs w:val="1"/>
                <w:color w:val="auto"/>
              </w:rPr>
            </w:pPr>
          </w:p>
        </w:tc>
      </w:tr>
      <w:tr>
        <w:trPr>
          <w:trHeight w:val="198"/>
        </w:trPr>
        <w:tc>
          <w:tcPr>
            <w:tcW w:w="452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tcBorders>
              <w:bottom w:val="single" w:sz="8" w:color="B6B6B6"/>
            </w:tcBorders>
            <w:shd w:val="clear" w:color="auto" w:fill="B6B6B6"/>
          </w:tcPr>
          <w:p>
            <w:pPr>
              <w:spacing w:after="0"/>
              <w:rPr>
                <w:sz w:val="17"/>
                <w:szCs w:val="17"/>
                <w:color w:val="auto"/>
              </w:rPr>
            </w:pPr>
          </w:p>
        </w:tc>
        <w:tc>
          <w:tcPr>
            <w:tcW w:w="160" w:type="dxa"/>
            <w:vAlign w:val="bottom"/>
            <w:tcBorders>
              <w:bottom w:val="single" w:sz="8" w:color="929292"/>
            </w:tcBorders>
          </w:tcPr>
          <w:p>
            <w:pPr>
              <w:spacing w:after="0"/>
              <w:rPr>
                <w:sz w:val="17"/>
                <w:szCs w:val="17"/>
                <w:color w:val="auto"/>
              </w:rPr>
            </w:pPr>
          </w:p>
        </w:tc>
        <w:tc>
          <w:tcPr>
            <w:tcW w:w="8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(215,162)</w:t>
            </w:r>
          </w:p>
        </w:tc>
        <w:tc>
          <w:tcPr>
            <w:tcW w:w="100" w:type="dxa"/>
            <w:vAlign w:val="bottom"/>
          </w:tcPr>
          <w:p>
            <w:pPr>
              <w:spacing w:after="0"/>
              <w:rPr>
                <w:sz w:val="17"/>
                <w:szCs w:val="17"/>
                <w:color w:val="auto"/>
              </w:rPr>
            </w:pPr>
          </w:p>
        </w:tc>
        <w:tc>
          <w:tcPr>
            <w:tcW w:w="180" w:type="dxa"/>
            <w:vAlign w:val="bottom"/>
            <w:tcBorders>
              <w:bottom w:val="single" w:sz="8" w:color="929292"/>
            </w:tcBorders>
          </w:tcPr>
          <w:p>
            <w:pPr>
              <w:spacing w:after="0"/>
              <w:rPr>
                <w:sz w:val="17"/>
                <w:szCs w:val="17"/>
                <w:color w:val="auto"/>
              </w:rPr>
            </w:pPr>
          </w:p>
        </w:tc>
        <w:tc>
          <w:tcPr>
            <w:tcW w:w="9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(61.6)%</w:t>
            </w:r>
          </w:p>
        </w:tc>
        <w:tc>
          <w:tcPr>
            <w:tcW w:w="80" w:type="dxa"/>
            <w:vAlign w:val="bottom"/>
          </w:tcPr>
          <w:p>
            <w:pPr>
              <w:spacing w:after="0"/>
              <w:rPr>
                <w:sz w:val="17"/>
                <w:szCs w:val="17"/>
                <w:color w:val="auto"/>
              </w:rPr>
            </w:pPr>
          </w:p>
        </w:tc>
        <w:tc>
          <w:tcPr>
            <w:tcW w:w="180" w:type="dxa"/>
            <w:vAlign w:val="bottom"/>
            <w:tcBorders>
              <w:bottom w:val="single" w:sz="8" w:color="929292"/>
            </w:tcBorders>
          </w:tcPr>
          <w:p>
            <w:pPr>
              <w:spacing w:after="0"/>
              <w:rPr>
                <w:sz w:val="17"/>
                <w:szCs w:val="17"/>
                <w:color w:val="auto"/>
              </w:rPr>
            </w:pPr>
          </w:p>
        </w:tc>
        <w:tc>
          <w:tcPr>
            <w:tcW w:w="7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(36,857)</w:t>
            </w:r>
          </w:p>
        </w:tc>
        <w:tc>
          <w:tcPr>
            <w:tcW w:w="100" w:type="dxa"/>
            <w:vAlign w:val="bottom"/>
          </w:tcPr>
          <w:p>
            <w:pPr>
              <w:spacing w:after="0"/>
              <w:rPr>
                <w:sz w:val="17"/>
                <w:szCs w:val="17"/>
                <w:color w:val="auto"/>
              </w:rPr>
            </w:pPr>
          </w:p>
        </w:tc>
        <w:tc>
          <w:tcPr>
            <w:tcW w:w="200" w:type="dxa"/>
            <w:vAlign w:val="bottom"/>
            <w:tcBorders>
              <w:bottom w:val="single" w:sz="8" w:color="929292"/>
            </w:tcBorders>
          </w:tcPr>
          <w:p>
            <w:pPr>
              <w:spacing w:after="0"/>
              <w:rPr>
                <w:sz w:val="17"/>
                <w:szCs w:val="17"/>
                <w:color w:val="auto"/>
              </w:rPr>
            </w:pPr>
          </w:p>
        </w:tc>
        <w:tc>
          <w:tcPr>
            <w:tcW w:w="9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7"/>
                <w:szCs w:val="17"/>
                <w:color w:val="auto"/>
              </w:rPr>
            </w:pPr>
          </w:p>
        </w:tc>
        <w:tc>
          <w:tcPr>
            <w:tcW w:w="140" w:type="dxa"/>
            <w:vAlign w:val="bottom"/>
            <w:tcBorders>
              <w:bottom w:val="single" w:sz="8" w:color="929292"/>
            </w:tcBorders>
          </w:tcPr>
          <w:p>
            <w:pPr>
              <w:spacing w:after="0"/>
              <w:rPr>
                <w:sz w:val="17"/>
                <w:szCs w:val="17"/>
                <w:color w:val="auto"/>
              </w:rPr>
            </w:pPr>
          </w:p>
        </w:tc>
        <w:tc>
          <w:tcPr>
            <w:tcW w:w="8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(178,305)</w:t>
            </w:r>
          </w:p>
        </w:tc>
        <w:tc>
          <w:tcPr>
            <w:tcW w:w="100" w:type="dxa"/>
            <w:vAlign w:val="bottom"/>
          </w:tcPr>
          <w:p>
            <w:pPr>
              <w:spacing w:after="0"/>
              <w:rPr>
                <w:sz w:val="17"/>
                <w:szCs w:val="17"/>
                <w:color w:val="auto"/>
              </w:rPr>
            </w:pPr>
          </w:p>
        </w:tc>
        <w:tc>
          <w:tcPr>
            <w:tcW w:w="10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483.8 %</w:t>
            </w:r>
          </w:p>
        </w:tc>
        <w:tc>
          <w:tcPr>
            <w:tcW w:w="0" w:type="dxa"/>
            <w:vAlign w:val="bottom"/>
          </w:tcPr>
          <w:p>
            <w:pPr>
              <w:spacing w:after="0"/>
              <w:rPr>
                <w:sz w:val="1"/>
                <w:szCs w:val="1"/>
                <w:color w:val="auto"/>
              </w:rPr>
            </w:pPr>
          </w:p>
        </w:tc>
      </w:tr>
      <w:tr>
        <w:trPr>
          <w:trHeight w:val="200"/>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100" w:type="dxa"/>
            <w:vAlign w:val="bottom"/>
            <w:tcBorders>
              <w:bottom w:val="single" w:sz="8" w:color="B6B6B6"/>
            </w:tcBorders>
            <w:shd w:val="clear" w:color="auto" w:fill="B6B6B6"/>
          </w:tcPr>
          <w:p>
            <w:pPr>
              <w:spacing w:after="0"/>
              <w:rPr>
                <w:sz w:val="17"/>
                <w:szCs w:val="17"/>
                <w:color w:val="auto"/>
              </w:rPr>
            </w:pPr>
          </w:p>
        </w:tc>
        <w:tc>
          <w:tcPr>
            <w:tcW w:w="16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(224,531)</w:t>
            </w:r>
          </w:p>
        </w:tc>
        <w:tc>
          <w:tcPr>
            <w:tcW w:w="100" w:type="dxa"/>
            <w:vAlign w:val="bottom"/>
          </w:tcPr>
          <w:p>
            <w:pPr>
              <w:spacing w:after="0"/>
              <w:rPr>
                <w:sz w:val="17"/>
                <w:szCs w:val="17"/>
                <w:color w:val="auto"/>
              </w:rPr>
            </w:pPr>
          </w:p>
        </w:tc>
        <w:tc>
          <w:tcPr>
            <w:tcW w:w="180" w:type="dxa"/>
            <w:vAlign w:val="bottom"/>
            <w:tcBorders>
              <w:bottom w:val="single" w:sz="8" w:color="929292"/>
            </w:tcBorders>
          </w:tcPr>
          <w:p>
            <w:pPr>
              <w:spacing w:after="0"/>
              <w:rPr>
                <w:sz w:val="17"/>
                <w:szCs w:val="17"/>
                <w:color w:val="auto"/>
              </w:rPr>
            </w:pPr>
          </w:p>
        </w:tc>
        <w:tc>
          <w:tcPr>
            <w:tcW w:w="90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(64.3)%</w:t>
            </w:r>
          </w:p>
        </w:tc>
        <w:tc>
          <w:tcPr>
            <w:tcW w:w="80" w:type="dxa"/>
            <w:vAlign w:val="bottom"/>
          </w:tcPr>
          <w:p>
            <w:pPr>
              <w:spacing w:after="0"/>
              <w:rPr>
                <w:sz w:val="17"/>
                <w:szCs w:val="17"/>
                <w:color w:val="auto"/>
              </w:rPr>
            </w:pPr>
          </w:p>
        </w:tc>
        <w:tc>
          <w:tcPr>
            <w:tcW w:w="18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(28,437)</w:t>
            </w:r>
          </w:p>
        </w:tc>
        <w:tc>
          <w:tcPr>
            <w:tcW w:w="100" w:type="dxa"/>
            <w:vAlign w:val="bottom"/>
          </w:tcPr>
          <w:p>
            <w:pPr>
              <w:spacing w:after="0"/>
              <w:rPr>
                <w:sz w:val="17"/>
                <w:szCs w:val="17"/>
                <w:color w:val="auto"/>
              </w:rPr>
            </w:pPr>
          </w:p>
        </w:tc>
        <w:tc>
          <w:tcPr>
            <w:tcW w:w="200" w:type="dxa"/>
            <w:vAlign w:val="bottom"/>
            <w:tcBorders>
              <w:bottom w:val="single" w:sz="8" w:color="929292"/>
            </w:tcBorders>
          </w:tcPr>
          <w:p>
            <w:pPr>
              <w:spacing w:after="0"/>
              <w:rPr>
                <w:sz w:val="17"/>
                <w:szCs w:val="17"/>
                <w:color w:val="auto"/>
              </w:rPr>
            </w:pPr>
          </w:p>
        </w:tc>
        <w:tc>
          <w:tcPr>
            <w:tcW w:w="90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(6.9)%</w:t>
            </w:r>
          </w:p>
        </w:tc>
        <w:tc>
          <w:tcPr>
            <w:tcW w:w="80" w:type="dxa"/>
            <w:vAlign w:val="bottom"/>
          </w:tcPr>
          <w:p>
            <w:pPr>
              <w:spacing w:after="0"/>
              <w:rPr>
                <w:sz w:val="17"/>
                <w:szCs w:val="17"/>
                <w:color w:val="auto"/>
              </w:rPr>
            </w:pPr>
          </w:p>
        </w:tc>
        <w:tc>
          <w:tcPr>
            <w:tcW w:w="14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(196,094)</w:t>
            </w:r>
          </w:p>
        </w:tc>
        <w:tc>
          <w:tcPr>
            <w:tcW w:w="100" w:type="dxa"/>
            <w:vAlign w:val="bottom"/>
          </w:tcPr>
          <w:p>
            <w:pPr>
              <w:spacing w:after="0"/>
              <w:rPr>
                <w:sz w:val="17"/>
                <w:szCs w:val="17"/>
                <w:color w:val="auto"/>
              </w:rPr>
            </w:pPr>
          </w:p>
        </w:tc>
        <w:tc>
          <w:tcPr>
            <w:tcW w:w="106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689.6 %</w:t>
            </w:r>
          </w:p>
        </w:tc>
        <w:tc>
          <w:tcPr>
            <w:tcW w:w="0" w:type="dxa"/>
            <w:vAlign w:val="bottom"/>
          </w:tcPr>
          <w:p>
            <w:pPr>
              <w:spacing w:after="0"/>
              <w:rPr>
                <w:sz w:val="1"/>
                <w:szCs w:val="1"/>
                <w:color w:val="auto"/>
              </w:rPr>
            </w:pPr>
          </w:p>
        </w:tc>
      </w:tr>
      <w:tr>
        <w:trPr>
          <w:trHeight w:val="21"/>
        </w:trPr>
        <w:tc>
          <w:tcPr>
            <w:tcW w:w="45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Net income (loss) per share (Note 7):</w:t>
            </w:r>
          </w:p>
        </w:tc>
        <w:tc>
          <w:tcPr>
            <w:tcW w:w="100" w:type="dxa"/>
            <w:vAlign w:val="bottom"/>
            <w:tcBorders>
              <w:bottom w:val="single" w:sz="8" w:color="B6B6B6"/>
            </w:tcBorders>
            <w:shd w:val="clear" w:color="auto" w:fill="B6B6B6"/>
          </w:tcPr>
          <w:p>
            <w:pPr>
              <w:spacing w:after="0" w:line="20" w:lineRule="exact"/>
              <w:rPr>
                <w:sz w:val="1"/>
                <w:szCs w:val="1"/>
                <w:color w:val="auto"/>
              </w:rPr>
            </w:pPr>
          </w:p>
        </w:tc>
        <w:tc>
          <w:tcPr>
            <w:tcW w:w="160" w:type="dxa"/>
            <w:vAlign w:val="bottom"/>
            <w:tcBorders>
              <w:bottom w:val="single" w:sz="8" w:color="929292"/>
            </w:tcBorders>
          </w:tcPr>
          <w:p>
            <w:pPr>
              <w:spacing w:after="0" w:line="20" w:lineRule="exact"/>
              <w:rPr>
                <w:sz w:val="1"/>
                <w:szCs w:val="1"/>
                <w:color w:val="auto"/>
              </w:rPr>
            </w:pPr>
          </w:p>
        </w:tc>
        <w:tc>
          <w:tcPr>
            <w:tcW w:w="82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929292"/>
            </w:tcBorders>
          </w:tcPr>
          <w:p>
            <w:pPr>
              <w:spacing w:after="0" w:line="20" w:lineRule="exact"/>
              <w:rPr>
                <w:sz w:val="1"/>
                <w:szCs w:val="1"/>
                <w:color w:val="auto"/>
              </w:rPr>
            </w:pPr>
          </w:p>
        </w:tc>
        <w:tc>
          <w:tcPr>
            <w:tcW w:w="90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929292"/>
            </w:tcBorders>
          </w:tcPr>
          <w:p>
            <w:pPr>
              <w:spacing w:after="0" w:line="20" w:lineRule="exact"/>
              <w:rPr>
                <w:sz w:val="1"/>
                <w:szCs w:val="1"/>
                <w:color w:val="auto"/>
              </w:rPr>
            </w:pPr>
          </w:p>
        </w:tc>
        <w:tc>
          <w:tcPr>
            <w:tcW w:w="78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929292"/>
            </w:tcBorders>
          </w:tcPr>
          <w:p>
            <w:pPr>
              <w:spacing w:after="0" w:line="20" w:lineRule="exact"/>
              <w:rPr>
                <w:sz w:val="1"/>
                <w:szCs w:val="1"/>
                <w:color w:val="auto"/>
              </w:rPr>
            </w:pPr>
          </w:p>
        </w:tc>
        <w:tc>
          <w:tcPr>
            <w:tcW w:w="90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929292"/>
            </w:tcBorders>
          </w:tcPr>
          <w:p>
            <w:pPr>
              <w:spacing w:after="0" w:line="20" w:lineRule="exact"/>
              <w:rPr>
                <w:sz w:val="1"/>
                <w:szCs w:val="1"/>
                <w:color w:val="auto"/>
              </w:rPr>
            </w:pPr>
          </w:p>
        </w:tc>
        <w:tc>
          <w:tcPr>
            <w:tcW w:w="84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520" w:type="dxa"/>
            <w:vAlign w:val="bottom"/>
            <w:vMerge w:val="continue"/>
          </w:tcPr>
          <w:p>
            <w:pPr>
              <w:spacing w:after="0"/>
              <w:rPr>
                <w:sz w:val="14"/>
                <w:szCs w:val="14"/>
                <w:color w:val="auto"/>
              </w:rPr>
            </w:pPr>
          </w:p>
        </w:tc>
        <w:tc>
          <w:tcPr>
            <w:tcW w:w="100" w:type="dxa"/>
            <w:vAlign w:val="bottom"/>
            <w:shd w:val="clear" w:color="auto" w:fill="B6B6B6"/>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
              <w:spacing w:after="0"/>
              <w:rPr>
                <w:sz w:val="20"/>
                <w:szCs w:val="20"/>
                <w:color w:val="auto"/>
              </w:rPr>
            </w:pPr>
            <w:r>
              <w:rPr>
                <w:rFonts w:ascii="Arial" w:cs="Arial" w:eastAsia="Arial" w:hAnsi="Arial"/>
                <w:sz w:val="14"/>
                <w:szCs w:val="14"/>
                <w:color w:val="auto"/>
              </w:rPr>
              <w:t>Net income (loss) per share of Class A common stock — basic</w:t>
            </w:r>
          </w:p>
        </w:tc>
        <w:tc>
          <w:tcPr>
            <w:tcW w:w="100" w:type="dxa"/>
            <w:vAlign w:val="bottom"/>
            <w:shd w:val="clear" w:color="auto" w:fill="B6B6B6"/>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
              <w:spacing w:after="0"/>
              <w:rPr>
                <w:sz w:val="20"/>
                <w:szCs w:val="20"/>
                <w:color w:val="auto"/>
              </w:rPr>
            </w:pPr>
            <w:r>
              <w:rPr>
                <w:rFonts w:ascii="Arial" w:cs="Arial" w:eastAsia="Arial" w:hAnsi="Arial"/>
                <w:sz w:val="14"/>
                <w:szCs w:val="14"/>
                <w:color w:val="auto"/>
              </w:rPr>
              <w:t>Net income (loss) per share of Class A common stock — diluted</w:t>
            </w:r>
          </w:p>
        </w:tc>
        <w:tc>
          <w:tcPr>
            <w:tcW w:w="100" w:type="dxa"/>
            <w:vAlign w:val="bottom"/>
            <w:shd w:val="clear" w:color="auto" w:fill="B6B6B6"/>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520" w:type="dxa"/>
            <w:vAlign w:val="bottom"/>
          </w:tcPr>
          <w:p>
            <w:pPr>
              <w:ind w:left="20"/>
              <w:spacing w:after="0"/>
              <w:rPr>
                <w:sz w:val="20"/>
                <w:szCs w:val="20"/>
                <w:color w:val="auto"/>
              </w:rPr>
            </w:pPr>
            <w:r>
              <w:rPr>
                <w:rFonts w:ascii="Arial" w:cs="Arial" w:eastAsia="Arial" w:hAnsi="Arial"/>
                <w:sz w:val="14"/>
                <w:szCs w:val="14"/>
                <w:color w:val="auto"/>
              </w:rPr>
              <w:t>Weighted-average shares of Class A common stock outstanding —</w:t>
            </w:r>
          </w:p>
        </w:tc>
        <w:tc>
          <w:tcPr>
            <w:tcW w:w="100" w:type="dxa"/>
            <w:vAlign w:val="bottom"/>
            <w:shd w:val="clear" w:color="auto" w:fill="B6B6B6"/>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11,884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9,922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basic</w:t>
            </w:r>
          </w:p>
        </w:tc>
        <w:tc>
          <w:tcPr>
            <w:tcW w:w="100" w:type="dxa"/>
            <w:vAlign w:val="bottom"/>
            <w:shd w:val="clear" w:color="auto" w:fill="B6B6B6"/>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Arial" w:cs="Arial" w:eastAsia="Arial" w:hAnsi="Arial"/>
                <w:sz w:val="14"/>
                <w:szCs w:val="14"/>
                <w:color w:val="auto"/>
              </w:rPr>
              <w:t>Weighted-average shares of Class A common stock outstanding —</w:t>
            </w:r>
          </w:p>
        </w:tc>
        <w:tc>
          <w:tcPr>
            <w:tcW w:w="100" w:type="dxa"/>
            <w:vAlign w:val="bottom"/>
            <w:shd w:val="clear" w:color="auto" w:fill="B6B6B6"/>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11,884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9,922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2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B6B6B6"/>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Non-GAAP financial measures:</w:t>
            </w:r>
          </w:p>
        </w:tc>
        <w:tc>
          <w:tcPr>
            <w:tcW w:w="100" w:type="dxa"/>
            <w:vAlign w:val="bottom"/>
            <w:shd w:val="clear" w:color="auto" w:fill="B6B6B6"/>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40"/>
              <w:spacing w:after="0"/>
              <w:rPr>
                <w:sz w:val="20"/>
                <w:szCs w:val="20"/>
                <w:color w:val="auto"/>
              </w:rPr>
            </w:pPr>
            <w:r>
              <w:rPr>
                <w:rFonts w:ascii="Arial" w:cs="Arial" w:eastAsia="Arial" w:hAnsi="Arial"/>
                <w:sz w:val="14"/>
                <w:szCs w:val="14"/>
                <w:color w:val="auto"/>
              </w:rPr>
              <w:t>EBITDA</w:t>
            </w:r>
          </w:p>
        </w:tc>
        <w:tc>
          <w:tcPr>
            <w:tcW w:w="100" w:type="dxa"/>
            <w:vAlign w:val="bottom"/>
            <w:shd w:val="clear" w:color="auto" w:fill="B6B6B6"/>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(302,073)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68,679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40"/>
              <w:spacing w:after="0"/>
              <w:rPr>
                <w:sz w:val="20"/>
                <w:szCs w:val="20"/>
                <w:color w:val="auto"/>
              </w:rPr>
            </w:pPr>
            <w:r>
              <w:rPr>
                <w:rFonts w:ascii="Arial" w:cs="Arial" w:eastAsia="Arial" w:hAnsi="Arial"/>
                <w:sz w:val="14"/>
                <w:szCs w:val="14"/>
                <w:color w:val="auto"/>
              </w:rPr>
              <w:t>Adjusted EBITDA</w:t>
            </w:r>
          </w:p>
        </w:tc>
        <w:tc>
          <w:tcPr>
            <w:tcW w:w="100" w:type="dxa"/>
            <w:vAlign w:val="bottom"/>
            <w:shd w:val="clear" w:color="auto" w:fill="B6B6B6"/>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(16,325)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40"/>
              <w:spacing w:after="0"/>
              <w:rPr>
                <w:sz w:val="20"/>
                <w:szCs w:val="20"/>
                <w:color w:val="auto"/>
              </w:rPr>
            </w:pPr>
            <w:r>
              <w:rPr>
                <w:rFonts w:ascii="Arial" w:cs="Arial" w:eastAsia="Arial" w:hAnsi="Arial"/>
                <w:sz w:val="14"/>
                <w:szCs w:val="14"/>
                <w:color w:val="auto"/>
              </w:rPr>
              <w:t>Net Income (Loss) Margin</w:t>
            </w:r>
          </w:p>
        </w:tc>
        <w:tc>
          <w:tcPr>
            <w:tcW w:w="100" w:type="dxa"/>
            <w:vAlign w:val="bottom"/>
            <w:shd w:val="clear" w:color="auto" w:fill="B6B6B6"/>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tcPr>
          <w:p>
            <w:pPr>
              <w:ind w:left="240"/>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B6B6B6"/>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922" w:right="339" w:bottom="1440" w:gutter="0" w:footer="0" w:header="0"/>
        </w:sectPr>
      </w:pPr>
    </w:p>
    <w:bookmarkStart w:id="8" w:name="page9"/>
    <w:bookmarkEnd w:id="8"/>
    <w:p>
      <w:pPr>
        <w:ind w:right="480"/>
        <w:spacing w:after="0" w:line="286" w:lineRule="auto"/>
        <w:rPr>
          <w:sz w:val="20"/>
          <w:szCs w:val="20"/>
          <w:color w:val="auto"/>
        </w:rPr>
      </w:pPr>
      <w:r>
        <w:rPr>
          <w:rFonts w:ascii="Arial" w:cs="Arial" w:eastAsia="Arial" w:hAnsi="Arial"/>
          <w:sz w:val="16"/>
          <w:szCs w:val="16"/>
          <w:color w:val="auto"/>
        </w:rPr>
        <w:t>The following tables set forth the reconciliations of GAAP net income (loss) to EBITDA, Adjusted EBITDA and Adjusted EBITDA Margin for the periods indicated (unaudited):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color w:val="auto"/>
              </w:rPr>
              <w:t>Three months ended Sep. 30,</w:t>
            </w:r>
          </w:p>
        </w:tc>
        <w:tc>
          <w:tcPr>
            <w:tcW w:w="280" w:type="dxa"/>
            <w:vAlign w:val="bottom"/>
          </w:tcPr>
          <w:p>
            <w:pPr>
              <w:spacing w:after="0"/>
              <w:rPr>
                <w:sz w:val="17"/>
                <w:szCs w:val="17"/>
                <w:color w:val="auto"/>
              </w:rPr>
            </w:pPr>
          </w:p>
        </w:tc>
        <w:tc>
          <w:tcPr>
            <w:tcW w:w="2460" w:type="dxa"/>
            <w:vAlign w:val="bottom"/>
            <w:gridSpan w:val="4"/>
          </w:tcPr>
          <w:p>
            <w:pPr>
              <w:jc w:val="right"/>
              <w:ind w:right="388"/>
              <w:spacing w:after="0"/>
              <w:rPr>
                <w:sz w:val="20"/>
                <w:szCs w:val="20"/>
                <w:color w:val="auto"/>
              </w:rPr>
            </w:pPr>
            <w:r>
              <w:rPr>
                <w:rFonts w:ascii="Arial" w:cs="Arial" w:eastAsia="Arial" w:hAnsi="Arial"/>
                <w:sz w:val="14"/>
                <w:szCs w:val="14"/>
                <w:color w:val="auto"/>
              </w:rPr>
              <w:t>Nine months ended Sep. 30,</w:t>
            </w:r>
          </w:p>
        </w:tc>
        <w:tc>
          <w:tcPr>
            <w:tcW w:w="0" w:type="dxa"/>
            <w:vAlign w:val="bottom"/>
          </w:tcPr>
          <w:p>
            <w:pPr>
              <w:spacing w:after="0"/>
              <w:rPr>
                <w:sz w:val="1"/>
                <w:szCs w:val="1"/>
                <w:color w:val="auto"/>
              </w:rPr>
            </w:pPr>
          </w:p>
        </w:tc>
      </w:tr>
      <w:tr>
        <w:trPr>
          <w:trHeight w:val="214"/>
        </w:trPr>
        <w:tc>
          <w:tcPr>
            <w:tcW w:w="55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B6B6B6"/>
            </w:tcBorders>
            <w:shd w:val="clear" w:color="auto" w:fill="B6B6B6"/>
          </w:tcPr>
          <w:p>
            <w:pPr>
              <w:spacing w:after="0"/>
              <w:rPr>
                <w:sz w:val="18"/>
                <w:szCs w:val="18"/>
                <w:color w:val="auto"/>
              </w:rPr>
            </w:pPr>
          </w:p>
        </w:tc>
        <w:tc>
          <w:tcPr>
            <w:tcW w:w="260" w:type="dxa"/>
            <w:vAlign w:val="bottom"/>
            <w:tcBorders>
              <w:bottom w:val="single" w:sz="8" w:color="B6B6B6"/>
            </w:tcBorders>
          </w:tcPr>
          <w:p>
            <w:pPr>
              <w:spacing w:after="0"/>
              <w:rPr>
                <w:sz w:val="18"/>
                <w:szCs w:val="18"/>
                <w:color w:val="auto"/>
              </w:rPr>
            </w:pPr>
          </w:p>
        </w:tc>
        <w:tc>
          <w:tcPr>
            <w:tcW w:w="1060" w:type="dxa"/>
            <w:vAlign w:val="bottom"/>
            <w:tcBorders>
              <w:bottom w:val="single" w:sz="8" w:color="B6B6B6"/>
            </w:tcBorders>
          </w:tcPr>
          <w:p>
            <w:pPr>
              <w:jc w:val="right"/>
              <w:ind w:right="428"/>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8"/>
                <w:szCs w:val="18"/>
                <w:color w:val="auto"/>
              </w:rPr>
            </w:pPr>
          </w:p>
        </w:tc>
        <w:tc>
          <w:tcPr>
            <w:tcW w:w="300" w:type="dxa"/>
            <w:vAlign w:val="bottom"/>
            <w:tcBorders>
              <w:bottom w:val="single" w:sz="8" w:color="B6B6B6"/>
            </w:tcBorders>
          </w:tcPr>
          <w:p>
            <w:pPr>
              <w:spacing w:after="0"/>
              <w:rPr>
                <w:sz w:val="18"/>
                <w:szCs w:val="18"/>
                <w:color w:val="auto"/>
              </w:rPr>
            </w:pPr>
          </w:p>
        </w:tc>
        <w:tc>
          <w:tcPr>
            <w:tcW w:w="1040" w:type="dxa"/>
            <w:vAlign w:val="bottom"/>
            <w:tcBorders>
              <w:bottom w:val="single" w:sz="8" w:color="B6B6B6"/>
            </w:tcBorders>
          </w:tcPr>
          <w:p>
            <w:pPr>
              <w:jc w:val="right"/>
              <w:ind w:right="428"/>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8"/>
                <w:szCs w:val="18"/>
                <w:color w:val="auto"/>
              </w:rPr>
            </w:pPr>
          </w:p>
        </w:tc>
        <w:tc>
          <w:tcPr>
            <w:tcW w:w="280" w:type="dxa"/>
            <w:vAlign w:val="bottom"/>
            <w:tcBorders>
              <w:bottom w:val="single" w:sz="8" w:color="B6B6B6"/>
            </w:tcBorders>
          </w:tcPr>
          <w:p>
            <w:pPr>
              <w:spacing w:after="0"/>
              <w:rPr>
                <w:sz w:val="18"/>
                <w:szCs w:val="18"/>
                <w:color w:val="auto"/>
              </w:rPr>
            </w:pPr>
          </w:p>
        </w:tc>
        <w:tc>
          <w:tcPr>
            <w:tcW w:w="1040" w:type="dxa"/>
            <w:vAlign w:val="bottom"/>
            <w:tcBorders>
              <w:bottom w:val="single" w:sz="8" w:color="B6B6B6"/>
            </w:tcBorders>
          </w:tcPr>
          <w:p>
            <w:pPr>
              <w:jc w:val="right"/>
              <w:ind w:right="42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8"/>
                <w:szCs w:val="18"/>
                <w:color w:val="auto"/>
              </w:rPr>
            </w:pPr>
          </w:p>
        </w:tc>
        <w:tc>
          <w:tcPr>
            <w:tcW w:w="30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jc w:val="right"/>
              <w:ind w:right="428"/>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78"/>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Net revenues</w:t>
            </w:r>
          </w:p>
        </w:tc>
        <w:tc>
          <w:tcPr>
            <w:tcW w:w="100" w:type="dxa"/>
            <w:vAlign w:val="bottom"/>
            <w:tcBorders>
              <w:bottom w:val="single" w:sz="8" w:color="B6B6B6"/>
            </w:tcBorders>
            <w:shd w:val="clear" w:color="auto" w:fill="B6B6B6"/>
          </w:tcPr>
          <w:p>
            <w:pPr>
              <w:spacing w:after="0"/>
              <w:rPr>
                <w:sz w:val="15"/>
                <w:szCs w:val="15"/>
                <w:color w:val="auto"/>
              </w:rPr>
            </w:pPr>
          </w:p>
        </w:tc>
        <w:tc>
          <w:tcPr>
            <w:tcW w:w="260" w:type="dxa"/>
            <w:vAlign w:val="bottom"/>
            <w:tcBorders>
              <w:bottom w:val="single" w:sz="8" w:color="B6B6B6"/>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b w:val="1"/>
                <w:bCs w:val="1"/>
                <w:color w:val="auto"/>
              </w:rPr>
              <w:t>34,186</w:t>
            </w:r>
          </w:p>
        </w:tc>
        <w:tc>
          <w:tcPr>
            <w:tcW w:w="80" w:type="dxa"/>
            <w:vAlign w:val="bottom"/>
          </w:tcPr>
          <w:p>
            <w:pPr>
              <w:spacing w:after="0"/>
              <w:rPr>
                <w:sz w:val="15"/>
                <w:szCs w:val="15"/>
                <w:color w:val="auto"/>
              </w:rPr>
            </w:pPr>
          </w:p>
        </w:tc>
        <w:tc>
          <w:tcPr>
            <w:tcW w:w="30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b w:val="1"/>
                <w:bCs w:val="1"/>
                <w:color w:val="auto"/>
              </w:rPr>
              <w:t>118,292</w:t>
            </w:r>
          </w:p>
        </w:tc>
        <w:tc>
          <w:tcPr>
            <w:tcW w:w="80" w:type="dxa"/>
            <w:vAlign w:val="bottom"/>
          </w:tcPr>
          <w:p>
            <w:pPr>
              <w:spacing w:after="0"/>
              <w:rPr>
                <w:sz w:val="15"/>
                <w:szCs w:val="15"/>
                <w:color w:val="auto"/>
              </w:rPr>
            </w:pPr>
          </w:p>
        </w:tc>
        <w:tc>
          <w:tcPr>
            <w:tcW w:w="2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349,206</w:t>
            </w:r>
          </w:p>
        </w:tc>
        <w:tc>
          <w:tcPr>
            <w:tcW w:w="100" w:type="dxa"/>
            <w:vAlign w:val="bottom"/>
          </w:tcPr>
          <w:p>
            <w:pPr>
              <w:spacing w:after="0"/>
              <w:rPr>
                <w:sz w:val="15"/>
                <w:szCs w:val="15"/>
                <w:color w:val="auto"/>
              </w:rPr>
            </w:pPr>
          </w:p>
        </w:tc>
        <w:tc>
          <w:tcPr>
            <w:tcW w:w="30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409,762</w:t>
            </w:r>
          </w:p>
        </w:tc>
        <w:tc>
          <w:tcPr>
            <w:tcW w:w="0" w:type="dxa"/>
            <w:vAlign w:val="bottom"/>
          </w:tcPr>
          <w:p>
            <w:pPr>
              <w:spacing w:after="0"/>
              <w:rPr>
                <w:sz w:val="1"/>
                <w:szCs w:val="1"/>
                <w:color w:val="auto"/>
              </w:rPr>
            </w:pPr>
          </w:p>
        </w:tc>
      </w:tr>
      <w:tr>
        <w:trPr>
          <w:trHeight w:val="190"/>
        </w:trPr>
        <w:tc>
          <w:tcPr>
            <w:tcW w:w="556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B6B6B6"/>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(313,918)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15,366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(439,693)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(65,294)</w:t>
            </w:r>
          </w:p>
        </w:tc>
        <w:tc>
          <w:tcPr>
            <w:tcW w:w="0" w:type="dxa"/>
            <w:vAlign w:val="bottom"/>
          </w:tcPr>
          <w:p>
            <w:pPr>
              <w:spacing w:after="0"/>
              <w:rPr>
                <w:sz w:val="1"/>
                <w:szCs w:val="1"/>
                <w:color w:val="auto"/>
              </w:rPr>
            </w:pPr>
          </w:p>
        </w:tc>
      </w:tr>
      <w:tr>
        <w:trPr>
          <w:trHeight w:val="203"/>
        </w:trPr>
        <w:tc>
          <w:tcPr>
            <w:tcW w:w="556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B6B6B6"/>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24,762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19,086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57,661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55,133</w:t>
            </w:r>
          </w:p>
        </w:tc>
        <w:tc>
          <w:tcPr>
            <w:tcW w:w="0" w:type="dxa"/>
            <w:vAlign w:val="bottom"/>
          </w:tcPr>
          <w:p>
            <w:pPr>
              <w:spacing w:after="0"/>
              <w:rPr>
                <w:sz w:val="1"/>
                <w:szCs w:val="1"/>
                <w:color w:val="auto"/>
              </w:rPr>
            </w:pPr>
          </w:p>
        </w:tc>
      </w:tr>
      <w:tr>
        <w:trPr>
          <w:trHeight w:val="203"/>
        </w:trPr>
        <w:tc>
          <w:tcPr>
            <w:tcW w:w="5560" w:type="dxa"/>
            <w:vAlign w:val="bottom"/>
          </w:tcPr>
          <w:p>
            <w:pPr>
              <w:ind w:left="140"/>
              <w:spacing w:after="0"/>
              <w:rPr>
                <w:sz w:val="20"/>
                <w:szCs w:val="20"/>
                <w:color w:val="auto"/>
              </w:rPr>
            </w:pPr>
            <w:r>
              <w:rPr>
                <w:rFonts w:ascii="Arial" w:cs="Arial" w:eastAsia="Arial" w:hAnsi="Arial"/>
                <w:sz w:val="14"/>
                <w:szCs w:val="14"/>
                <w:color w:val="auto"/>
              </w:rPr>
              <w:t>Income tax expense (benefit)</w:t>
            </w:r>
          </w:p>
        </w:tc>
        <w:tc>
          <w:tcPr>
            <w:tcW w:w="100" w:type="dxa"/>
            <w:vAlign w:val="bottom"/>
            <w:shd w:val="clear" w:color="auto" w:fill="B6B6B6"/>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(486)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4"/>
        </w:trPr>
        <w:tc>
          <w:tcPr>
            <w:tcW w:w="5560" w:type="dxa"/>
            <w:vAlign w:val="bottom"/>
          </w:tcPr>
          <w:p>
            <w:pPr>
              <w:ind w:left="140"/>
              <w:spacing w:after="0"/>
              <w:rPr>
                <w:sz w:val="20"/>
                <w:szCs w:val="20"/>
                <w:color w:val="auto"/>
              </w:rPr>
            </w:pPr>
            <w:r>
              <w:rPr>
                <w:rFonts w:ascii="Arial" w:cs="Arial" w:eastAsia="Arial" w:hAnsi="Arial"/>
                <w:sz w:val="14"/>
                <w:szCs w:val="14"/>
                <w:color w:val="auto"/>
              </w:rPr>
              <w:t>Depreciation and amortization expense</w:t>
            </w:r>
          </w:p>
        </w:tc>
        <w:tc>
          <w:tcPr>
            <w:tcW w:w="100" w:type="dxa"/>
            <w:vAlign w:val="bottom"/>
            <w:tcBorders>
              <w:bottom w:val="single" w:sz="8" w:color="B6B6B6"/>
            </w:tcBorders>
            <w:shd w:val="clear" w:color="auto" w:fill="B6B6B6"/>
          </w:tcPr>
          <w:p>
            <w:pPr>
              <w:spacing w:after="0"/>
              <w:rPr>
                <w:sz w:val="17"/>
                <w:szCs w:val="17"/>
                <w:color w:val="auto"/>
              </w:rPr>
            </w:pPr>
          </w:p>
        </w:tc>
        <w:tc>
          <w:tcPr>
            <w:tcW w:w="260" w:type="dxa"/>
            <w:vAlign w:val="bottom"/>
            <w:tcBorders>
              <w:bottom w:val="single" w:sz="8" w:color="929292"/>
            </w:tcBorders>
          </w:tcPr>
          <w:p>
            <w:pPr>
              <w:spacing w:after="0"/>
              <w:rPr>
                <w:sz w:val="17"/>
                <w:szCs w:val="17"/>
                <w:color w:val="auto"/>
              </w:rPr>
            </w:pPr>
          </w:p>
        </w:tc>
        <w:tc>
          <w:tcPr>
            <w:tcW w:w="106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color w:val="auto"/>
              </w:rPr>
              <w:t>27,022</w:t>
            </w:r>
          </w:p>
        </w:tc>
        <w:tc>
          <w:tcPr>
            <w:tcW w:w="80" w:type="dxa"/>
            <w:vAlign w:val="bottom"/>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04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color w:val="auto"/>
              </w:rPr>
              <w:t>26,419</w:t>
            </w:r>
          </w:p>
        </w:tc>
        <w:tc>
          <w:tcPr>
            <w:tcW w:w="80" w:type="dxa"/>
            <w:vAlign w:val="bottom"/>
          </w:tcPr>
          <w:p>
            <w:pPr>
              <w:spacing w:after="0"/>
              <w:rPr>
                <w:sz w:val="17"/>
                <w:szCs w:val="17"/>
                <w:color w:val="auto"/>
              </w:rPr>
            </w:pPr>
          </w:p>
        </w:tc>
        <w:tc>
          <w:tcPr>
            <w:tcW w:w="280" w:type="dxa"/>
            <w:vAlign w:val="bottom"/>
            <w:tcBorders>
              <w:bottom w:val="single" w:sz="8" w:color="929292"/>
            </w:tcBorders>
          </w:tcPr>
          <w:p>
            <w:pPr>
              <w:spacing w:after="0"/>
              <w:rPr>
                <w:sz w:val="17"/>
                <w:szCs w:val="17"/>
                <w:color w:val="auto"/>
              </w:rPr>
            </w:pPr>
          </w:p>
        </w:tc>
        <w:tc>
          <w:tcPr>
            <w:tcW w:w="104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79,696</w:t>
            </w:r>
          </w:p>
        </w:tc>
        <w:tc>
          <w:tcPr>
            <w:tcW w:w="100" w:type="dxa"/>
            <w:vAlign w:val="bottom"/>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02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78,962</w:t>
            </w:r>
          </w:p>
        </w:tc>
        <w:tc>
          <w:tcPr>
            <w:tcW w:w="0" w:type="dxa"/>
            <w:vAlign w:val="bottom"/>
          </w:tcPr>
          <w:p>
            <w:pPr>
              <w:spacing w:after="0"/>
              <w:rPr>
                <w:sz w:val="1"/>
                <w:szCs w:val="1"/>
                <w:color w:val="auto"/>
              </w:rPr>
            </w:pPr>
          </w:p>
        </w:tc>
      </w:tr>
      <w:tr>
        <w:trPr>
          <w:trHeight w:val="196"/>
        </w:trPr>
        <w:tc>
          <w:tcPr>
            <w:tcW w:w="5560" w:type="dxa"/>
            <w:vAlign w:val="bottom"/>
          </w:tcPr>
          <w:p>
            <w:pPr>
              <w:ind w:left="20"/>
              <w:spacing w:after="0"/>
              <w:rPr>
                <w:sz w:val="20"/>
                <w:szCs w:val="20"/>
                <w:color w:val="auto"/>
              </w:rPr>
            </w:pPr>
            <w:r>
              <w:rPr>
                <w:rFonts w:ascii="Arial" w:cs="Arial" w:eastAsia="Arial" w:hAnsi="Arial"/>
                <w:sz w:val="14"/>
                <w:szCs w:val="14"/>
                <w:color w:val="auto"/>
              </w:rPr>
              <w:t>EBITDA</w:t>
            </w:r>
          </w:p>
        </w:tc>
        <w:tc>
          <w:tcPr>
            <w:tcW w:w="100" w:type="dxa"/>
            <w:vAlign w:val="bottom"/>
            <w:tcBorders>
              <w:bottom w:val="single" w:sz="8" w:color="B6B6B6"/>
            </w:tcBorders>
            <w:shd w:val="clear" w:color="auto" w:fill="B6B6B6"/>
          </w:tcPr>
          <w:p>
            <w:pPr>
              <w:spacing w:after="0"/>
              <w:rPr>
                <w:sz w:val="17"/>
                <w:szCs w:val="17"/>
                <w:color w:val="auto"/>
              </w:rPr>
            </w:pPr>
          </w:p>
        </w:tc>
        <w:tc>
          <w:tcPr>
            <w:tcW w:w="260" w:type="dxa"/>
            <w:vAlign w:val="bottom"/>
            <w:tcBorders>
              <w:bottom w:val="single" w:sz="8" w:color="929292"/>
            </w:tcBorders>
          </w:tcPr>
          <w:p>
            <w:pPr>
              <w:spacing w:after="0"/>
              <w:rPr>
                <w:sz w:val="17"/>
                <w:szCs w:val="17"/>
                <w:color w:val="auto"/>
              </w:rPr>
            </w:pPr>
          </w:p>
        </w:tc>
        <w:tc>
          <w:tcPr>
            <w:tcW w:w="1060" w:type="dxa"/>
            <w:vAlign w:val="bottom"/>
            <w:tcBorders>
              <w:bottom w:val="single" w:sz="8" w:color="929292"/>
            </w:tcBorders>
          </w:tcPr>
          <w:p>
            <w:pPr>
              <w:jc w:val="right"/>
              <w:ind w:right="88"/>
              <w:spacing w:after="0"/>
              <w:rPr>
                <w:sz w:val="20"/>
                <w:szCs w:val="20"/>
                <w:color w:val="auto"/>
              </w:rPr>
            </w:pPr>
            <w:r>
              <w:rPr>
                <w:rFonts w:ascii="Arial" w:cs="Arial" w:eastAsia="Arial" w:hAnsi="Arial"/>
                <w:sz w:val="14"/>
                <w:szCs w:val="14"/>
                <w:color w:val="auto"/>
              </w:rPr>
              <w:t>(262,620)</w:t>
            </w:r>
          </w:p>
        </w:tc>
        <w:tc>
          <w:tcPr>
            <w:tcW w:w="80" w:type="dxa"/>
            <w:vAlign w:val="bottom"/>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04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color w:val="auto"/>
              </w:rPr>
              <w:t>60,860</w:t>
            </w:r>
          </w:p>
        </w:tc>
        <w:tc>
          <w:tcPr>
            <w:tcW w:w="80" w:type="dxa"/>
            <w:vAlign w:val="bottom"/>
          </w:tcPr>
          <w:p>
            <w:pPr>
              <w:spacing w:after="0"/>
              <w:rPr>
                <w:sz w:val="17"/>
                <w:szCs w:val="17"/>
                <w:color w:val="auto"/>
              </w:rPr>
            </w:pPr>
          </w:p>
        </w:tc>
        <w:tc>
          <w:tcPr>
            <w:tcW w:w="280" w:type="dxa"/>
            <w:vAlign w:val="bottom"/>
            <w:tcBorders>
              <w:bottom w:val="single" w:sz="8" w:color="929292"/>
            </w:tcBorders>
          </w:tcPr>
          <w:p>
            <w:pPr>
              <w:spacing w:after="0"/>
              <w:rPr>
                <w:sz w:val="17"/>
                <w:szCs w:val="17"/>
                <w:color w:val="auto"/>
              </w:rPr>
            </w:pPr>
          </w:p>
        </w:tc>
        <w:tc>
          <w:tcPr>
            <w:tcW w:w="104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color w:val="auto"/>
              </w:rPr>
              <w:t>(302,073)</w:t>
            </w:r>
          </w:p>
        </w:tc>
        <w:tc>
          <w:tcPr>
            <w:tcW w:w="100" w:type="dxa"/>
            <w:vAlign w:val="bottom"/>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02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68,679</w:t>
            </w:r>
          </w:p>
        </w:tc>
        <w:tc>
          <w:tcPr>
            <w:tcW w:w="0" w:type="dxa"/>
            <w:vAlign w:val="bottom"/>
          </w:tcPr>
          <w:p>
            <w:pPr>
              <w:spacing w:after="0"/>
              <w:rPr>
                <w:sz w:val="1"/>
                <w:szCs w:val="1"/>
                <w:color w:val="auto"/>
              </w:rPr>
            </w:pPr>
          </w:p>
        </w:tc>
      </w:tr>
      <w:tr>
        <w:trPr>
          <w:trHeight w:val="204"/>
        </w:trPr>
        <w:tc>
          <w:tcPr>
            <w:tcW w:w="5560" w:type="dxa"/>
            <w:vAlign w:val="bottom"/>
          </w:tcPr>
          <w:p>
            <w:pPr>
              <w:ind w:left="140"/>
              <w:spacing w:after="0" w:line="204" w:lineRule="exact"/>
              <w:rPr>
                <w:sz w:val="20"/>
                <w:szCs w:val="20"/>
                <w:color w:val="auto"/>
              </w:rPr>
            </w:pPr>
            <w:r>
              <w:rPr>
                <w:rFonts w:ascii="Arial" w:cs="Arial" w:eastAsia="Arial" w:hAnsi="Arial"/>
                <w:sz w:val="14"/>
                <w:szCs w:val="14"/>
                <w:color w:val="auto"/>
              </w:rPr>
              <w:t>Indefinite and long-lived asset impairment charges</w:t>
            </w:r>
            <w:r>
              <w:rPr>
                <w:rFonts w:ascii="Arial" w:cs="Arial" w:eastAsia="Arial" w:hAnsi="Arial"/>
                <w:sz w:val="18"/>
                <w:szCs w:val="18"/>
                <w:color w:val="auto"/>
                <w:vertAlign w:val="superscript"/>
              </w:rPr>
              <w:t>(1)</w:t>
            </w:r>
          </w:p>
        </w:tc>
        <w:tc>
          <w:tcPr>
            <w:tcW w:w="100" w:type="dxa"/>
            <w:vAlign w:val="bottom"/>
            <w:shd w:val="clear" w:color="auto" w:fill="B6B6B6"/>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206,163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259,675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560" w:type="dxa"/>
            <w:vAlign w:val="bottom"/>
          </w:tcPr>
          <w:p>
            <w:pPr>
              <w:ind w:left="140"/>
              <w:spacing w:after="0" w:line="202" w:lineRule="exact"/>
              <w:rPr>
                <w:sz w:val="20"/>
                <w:szCs w:val="20"/>
                <w:color w:val="auto"/>
              </w:rPr>
            </w:pPr>
            <w:r>
              <w:rPr>
                <w:rFonts w:ascii="Arial" w:cs="Arial" w:eastAsia="Arial" w:hAnsi="Arial"/>
                <w:sz w:val="14"/>
                <w:szCs w:val="14"/>
                <w:color w:val="auto"/>
              </w:rPr>
              <w:t>Loss on extinguishment of debt</w:t>
            </w:r>
            <w:r>
              <w:rPr>
                <w:rFonts w:ascii="Arial" w:cs="Arial" w:eastAsia="Arial" w:hAnsi="Arial"/>
                <w:sz w:val="18"/>
                <w:szCs w:val="18"/>
                <w:color w:val="auto"/>
                <w:vertAlign w:val="superscript"/>
              </w:rPr>
              <w:t>(2)</w:t>
            </w:r>
          </w:p>
        </w:tc>
        <w:tc>
          <w:tcPr>
            <w:tcW w:w="100" w:type="dxa"/>
            <w:vAlign w:val="bottom"/>
            <w:shd w:val="clear" w:color="auto" w:fill="B6B6B6"/>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1,655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1,655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560" w:type="dxa"/>
            <w:vAlign w:val="bottom"/>
          </w:tcPr>
          <w:p>
            <w:pPr>
              <w:ind w:left="140"/>
              <w:spacing w:after="0" w:line="202" w:lineRule="exact"/>
              <w:rPr>
                <w:sz w:val="20"/>
                <w:szCs w:val="20"/>
                <w:color w:val="auto"/>
              </w:rPr>
            </w:pPr>
            <w:r>
              <w:rPr>
                <w:rFonts w:ascii="Arial" w:cs="Arial" w:eastAsia="Arial" w:hAnsi="Arial"/>
                <w:sz w:val="14"/>
                <w:szCs w:val="14"/>
                <w:color w:val="auto"/>
              </w:rPr>
              <w:t>Share-based compensation expense (benefit)</w:t>
            </w:r>
            <w:r>
              <w:rPr>
                <w:rFonts w:ascii="Arial" w:cs="Arial" w:eastAsia="Arial" w:hAnsi="Arial"/>
                <w:sz w:val="18"/>
                <w:szCs w:val="18"/>
                <w:color w:val="auto"/>
                <w:vertAlign w:val="superscript"/>
              </w:rPr>
              <w:t>(3)</w:t>
            </w:r>
          </w:p>
        </w:tc>
        <w:tc>
          <w:tcPr>
            <w:tcW w:w="100" w:type="dxa"/>
            <w:vAlign w:val="bottom"/>
            <w:shd w:val="clear" w:color="auto" w:fill="B6B6B6"/>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3,496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2,859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6,164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6,534</w:t>
            </w:r>
          </w:p>
        </w:tc>
        <w:tc>
          <w:tcPr>
            <w:tcW w:w="0" w:type="dxa"/>
            <w:vAlign w:val="bottom"/>
          </w:tcPr>
          <w:p>
            <w:pPr>
              <w:spacing w:after="0"/>
              <w:rPr>
                <w:sz w:val="1"/>
                <w:szCs w:val="1"/>
                <w:color w:val="auto"/>
              </w:rPr>
            </w:pPr>
          </w:p>
        </w:tc>
      </w:tr>
      <w:tr>
        <w:trPr>
          <w:trHeight w:val="203"/>
        </w:trPr>
        <w:tc>
          <w:tcPr>
            <w:tcW w:w="5560" w:type="dxa"/>
            <w:vAlign w:val="bottom"/>
          </w:tcPr>
          <w:p>
            <w:pPr>
              <w:ind w:left="140"/>
              <w:spacing w:after="0" w:line="202" w:lineRule="exact"/>
              <w:rPr>
                <w:sz w:val="20"/>
                <w:szCs w:val="20"/>
                <w:color w:val="auto"/>
              </w:rPr>
            </w:pPr>
            <w:r>
              <w:rPr>
                <w:rFonts w:ascii="Arial" w:cs="Arial" w:eastAsia="Arial" w:hAnsi="Arial"/>
                <w:sz w:val="14"/>
                <w:szCs w:val="14"/>
                <w:color w:val="auto"/>
              </w:rPr>
              <w:t>Professional services</w:t>
            </w:r>
            <w:r>
              <w:rPr>
                <w:rFonts w:ascii="Arial" w:cs="Arial" w:eastAsia="Arial" w:hAnsi="Arial"/>
                <w:sz w:val="18"/>
                <w:szCs w:val="18"/>
                <w:color w:val="auto"/>
                <w:vertAlign w:val="superscript"/>
              </w:rPr>
              <w:t>(4)</w:t>
            </w:r>
          </w:p>
        </w:tc>
        <w:tc>
          <w:tcPr>
            <w:tcW w:w="100" w:type="dxa"/>
            <w:vAlign w:val="bottom"/>
            <w:shd w:val="clear" w:color="auto" w:fill="B6B6B6"/>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3,327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818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10,708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203"/>
        </w:trPr>
        <w:tc>
          <w:tcPr>
            <w:tcW w:w="5560" w:type="dxa"/>
            <w:vAlign w:val="bottom"/>
          </w:tcPr>
          <w:p>
            <w:pPr>
              <w:ind w:left="140"/>
              <w:spacing w:after="0" w:line="202" w:lineRule="exact"/>
              <w:rPr>
                <w:sz w:val="20"/>
                <w:szCs w:val="20"/>
                <w:color w:val="auto"/>
              </w:rPr>
            </w:pPr>
            <w:r>
              <w:rPr>
                <w:rFonts w:ascii="Arial" w:cs="Arial" w:eastAsia="Arial" w:hAnsi="Arial"/>
                <w:sz w:val="14"/>
                <w:szCs w:val="14"/>
                <w:color w:val="auto"/>
              </w:rPr>
              <w:t>Legal fees</w:t>
            </w:r>
            <w:r>
              <w:rPr>
                <w:rFonts w:ascii="Arial" w:cs="Arial" w:eastAsia="Arial" w:hAnsi="Arial"/>
                <w:sz w:val="18"/>
                <w:szCs w:val="18"/>
                <w:color w:val="auto"/>
                <w:vertAlign w:val="superscript"/>
              </w:rPr>
              <w:t>(5)</w:t>
            </w:r>
          </w:p>
        </w:tc>
        <w:tc>
          <w:tcPr>
            <w:tcW w:w="100" w:type="dxa"/>
            <w:vAlign w:val="bottom"/>
            <w:shd w:val="clear" w:color="auto" w:fill="B6B6B6"/>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889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654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3,731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203"/>
        </w:trPr>
        <w:tc>
          <w:tcPr>
            <w:tcW w:w="5560" w:type="dxa"/>
            <w:vAlign w:val="bottom"/>
          </w:tcPr>
          <w:p>
            <w:pPr>
              <w:ind w:left="140"/>
              <w:spacing w:after="0" w:line="202" w:lineRule="exact"/>
              <w:rPr>
                <w:sz w:val="20"/>
                <w:szCs w:val="20"/>
                <w:color w:val="auto"/>
              </w:rPr>
            </w:pPr>
            <w:r>
              <w:rPr>
                <w:rFonts w:ascii="Arial" w:cs="Arial" w:eastAsia="Arial" w:hAnsi="Arial"/>
                <w:sz w:val="14"/>
                <w:szCs w:val="14"/>
                <w:color w:val="auto"/>
              </w:rPr>
              <w:t>Severance costs</w:t>
            </w:r>
            <w:r>
              <w:rPr>
                <w:rFonts w:ascii="Arial" w:cs="Arial" w:eastAsia="Arial" w:hAnsi="Arial"/>
                <w:sz w:val="18"/>
                <w:szCs w:val="18"/>
                <w:color w:val="auto"/>
                <w:vertAlign w:val="superscript"/>
              </w:rPr>
              <w:t>(6)</w:t>
            </w:r>
          </w:p>
        </w:tc>
        <w:tc>
          <w:tcPr>
            <w:tcW w:w="100" w:type="dxa"/>
            <w:vAlign w:val="bottom"/>
            <w:shd w:val="clear" w:color="auto" w:fill="B6B6B6"/>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3,815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2,480</w:t>
            </w:r>
          </w:p>
        </w:tc>
        <w:tc>
          <w:tcPr>
            <w:tcW w:w="0" w:type="dxa"/>
            <w:vAlign w:val="bottom"/>
          </w:tcPr>
          <w:p>
            <w:pPr>
              <w:spacing w:after="0"/>
              <w:rPr>
                <w:sz w:val="1"/>
                <w:szCs w:val="1"/>
                <w:color w:val="auto"/>
              </w:rPr>
            </w:pPr>
          </w:p>
        </w:tc>
      </w:tr>
      <w:tr>
        <w:trPr>
          <w:trHeight w:val="201"/>
        </w:trPr>
        <w:tc>
          <w:tcPr>
            <w:tcW w:w="5560" w:type="dxa"/>
            <w:vAlign w:val="bottom"/>
          </w:tcPr>
          <w:p>
            <w:pPr>
              <w:ind w:left="140"/>
              <w:spacing w:after="0" w:line="201" w:lineRule="exact"/>
              <w:rPr>
                <w:sz w:val="20"/>
                <w:szCs w:val="20"/>
                <w:color w:val="auto"/>
              </w:rPr>
            </w:pPr>
            <w:r>
              <w:rPr>
                <w:rFonts w:ascii="Arial" w:cs="Arial" w:eastAsia="Arial" w:hAnsi="Arial"/>
                <w:sz w:val="14"/>
                <w:szCs w:val="14"/>
                <w:color w:val="auto"/>
              </w:rPr>
              <w:t>Gain on bargain purchase</w:t>
            </w:r>
            <w:r>
              <w:rPr>
                <w:rFonts w:ascii="Arial" w:cs="Arial" w:eastAsia="Arial" w:hAnsi="Arial"/>
                <w:sz w:val="18"/>
                <w:szCs w:val="18"/>
                <w:color w:val="auto"/>
                <w:vertAlign w:val="superscript"/>
              </w:rPr>
              <w:t>(7)</w:t>
            </w:r>
          </w:p>
        </w:tc>
        <w:tc>
          <w:tcPr>
            <w:tcW w:w="100" w:type="dxa"/>
            <w:vAlign w:val="bottom"/>
            <w:shd w:val="clear" w:color="auto" w:fill="B6B6B6"/>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(77,363)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(77,363)</w:t>
            </w:r>
          </w:p>
        </w:tc>
        <w:tc>
          <w:tcPr>
            <w:tcW w:w="0" w:type="dxa"/>
            <w:vAlign w:val="bottom"/>
          </w:tcPr>
          <w:p>
            <w:pPr>
              <w:spacing w:after="0"/>
              <w:rPr>
                <w:sz w:val="1"/>
                <w:szCs w:val="1"/>
                <w:color w:val="auto"/>
              </w:rPr>
            </w:pPr>
          </w:p>
        </w:tc>
      </w:tr>
      <w:tr>
        <w:trPr>
          <w:trHeight w:val="196"/>
        </w:trPr>
        <w:tc>
          <w:tcPr>
            <w:tcW w:w="556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00" w:type="dxa"/>
            <w:vAlign w:val="bottom"/>
            <w:tcBorders>
              <w:top w:val="single" w:sz="8" w:color="B6B6B6"/>
              <w:bottom w:val="single" w:sz="8" w:color="B6B6B6"/>
            </w:tcBorders>
            <w:shd w:val="clear" w:color="auto" w:fill="B6B6B6"/>
          </w:tcPr>
          <w:p>
            <w:pPr>
              <w:spacing w:after="0"/>
              <w:rPr>
                <w:sz w:val="17"/>
                <w:szCs w:val="17"/>
                <w:color w:val="auto"/>
              </w:rPr>
            </w:pPr>
          </w:p>
        </w:tc>
        <w:tc>
          <w:tcPr>
            <w:tcW w:w="260" w:type="dxa"/>
            <w:vAlign w:val="bottom"/>
            <w:tcBorders>
              <w:top w:val="single" w:sz="8" w:color="B6B6B6"/>
              <w:bottom w:val="single" w:sz="8" w:color="B6B6B6"/>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B6B6B6"/>
              <w:bottom w:val="single" w:sz="8" w:color="B6B6B6"/>
            </w:tcBorders>
          </w:tcPr>
          <w:p>
            <w:pPr>
              <w:jc w:val="right"/>
              <w:ind w:right="88"/>
              <w:spacing w:after="0"/>
              <w:rPr>
                <w:sz w:val="20"/>
                <w:szCs w:val="20"/>
                <w:color w:val="auto"/>
              </w:rPr>
            </w:pPr>
            <w:r>
              <w:rPr>
                <w:rFonts w:ascii="Arial" w:cs="Arial" w:eastAsia="Arial" w:hAnsi="Arial"/>
                <w:sz w:val="14"/>
                <w:szCs w:val="14"/>
                <w:color w:val="auto"/>
              </w:rPr>
              <w:t>(47,090)</w:t>
            </w:r>
          </w:p>
        </w:tc>
        <w:tc>
          <w:tcPr>
            <w:tcW w:w="80" w:type="dxa"/>
            <w:vAlign w:val="bottom"/>
          </w:tcPr>
          <w:p>
            <w:pPr>
              <w:spacing w:after="0"/>
              <w:rPr>
                <w:sz w:val="17"/>
                <w:szCs w:val="17"/>
                <w:color w:val="auto"/>
              </w:rPr>
            </w:pPr>
          </w:p>
        </w:tc>
        <w:tc>
          <w:tcPr>
            <w:tcW w:w="300" w:type="dxa"/>
            <w:vAlign w:val="bottom"/>
            <w:tcBorders>
              <w:top w:val="single" w:sz="8" w:color="B6B6B6"/>
              <w:bottom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B6B6B6"/>
              <w:bottom w:val="single" w:sz="8" w:color="B6B6B6"/>
            </w:tcBorders>
          </w:tcPr>
          <w:p>
            <w:pPr>
              <w:jc w:val="right"/>
              <w:ind w:right="88"/>
              <w:spacing w:after="0"/>
              <w:rPr>
                <w:sz w:val="20"/>
                <w:szCs w:val="20"/>
                <w:color w:val="auto"/>
              </w:rPr>
            </w:pPr>
            <w:r>
              <w:rPr>
                <w:rFonts w:ascii="Arial" w:cs="Arial" w:eastAsia="Arial" w:hAnsi="Arial"/>
                <w:sz w:val="14"/>
                <w:szCs w:val="14"/>
                <w:color w:val="auto"/>
              </w:rPr>
              <w:t>(12,106)</w:t>
            </w:r>
          </w:p>
        </w:tc>
        <w:tc>
          <w:tcPr>
            <w:tcW w:w="80" w:type="dxa"/>
            <w:vAlign w:val="bottom"/>
          </w:tcPr>
          <w:p>
            <w:pPr>
              <w:spacing w:after="0"/>
              <w:rPr>
                <w:sz w:val="17"/>
                <w:szCs w:val="17"/>
                <w:color w:val="auto"/>
              </w:rPr>
            </w:pPr>
          </w:p>
        </w:tc>
        <w:tc>
          <w:tcPr>
            <w:tcW w:w="280" w:type="dxa"/>
            <w:vAlign w:val="bottom"/>
            <w:tcBorders>
              <w:top w:val="single" w:sz="8" w:color="B6B6B6"/>
              <w:bottom w:val="single" w:sz="8" w:color="B6B6B6"/>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B6B6B6"/>
              <w:bottom w:val="single" w:sz="8" w:color="B6B6B6"/>
            </w:tcBorders>
          </w:tcPr>
          <w:p>
            <w:pPr>
              <w:jc w:val="right"/>
              <w:ind w:right="68"/>
              <w:spacing w:after="0"/>
              <w:rPr>
                <w:sz w:val="20"/>
                <w:szCs w:val="20"/>
                <w:color w:val="auto"/>
              </w:rPr>
            </w:pPr>
            <w:r>
              <w:rPr>
                <w:rFonts w:ascii="Arial" w:cs="Arial" w:eastAsia="Arial" w:hAnsi="Arial"/>
                <w:sz w:val="14"/>
                <w:szCs w:val="14"/>
                <w:color w:val="auto"/>
              </w:rPr>
              <w:t>(16,325)</w:t>
            </w:r>
          </w:p>
        </w:tc>
        <w:tc>
          <w:tcPr>
            <w:tcW w:w="100" w:type="dxa"/>
            <w:vAlign w:val="bottom"/>
          </w:tcPr>
          <w:p>
            <w:pPr>
              <w:spacing w:after="0"/>
              <w:rPr>
                <w:sz w:val="17"/>
                <w:szCs w:val="17"/>
                <w:color w:val="auto"/>
              </w:rPr>
            </w:pPr>
          </w:p>
        </w:tc>
        <w:tc>
          <w:tcPr>
            <w:tcW w:w="300" w:type="dxa"/>
            <w:vAlign w:val="bottom"/>
            <w:tcBorders>
              <w:top w:val="single" w:sz="8" w:color="B6B6B6"/>
              <w:bottom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B6B6B6"/>
              <w:bottom w:val="single" w:sz="8" w:color="B6B6B6"/>
            </w:tcBorders>
          </w:tcPr>
          <w:p>
            <w:pPr>
              <w:jc w:val="right"/>
              <w:ind w:right="108"/>
              <w:spacing w:after="0"/>
              <w:rPr>
                <w:sz w:val="20"/>
                <w:szCs w:val="20"/>
                <w:color w:val="auto"/>
              </w:rPr>
            </w:pPr>
            <w:r>
              <w:rPr>
                <w:rFonts w:ascii="Arial" w:cs="Arial" w:eastAsia="Arial" w:hAnsi="Arial"/>
                <w:sz w:val="14"/>
                <w:szCs w:val="14"/>
                <w:color w:val="auto"/>
              </w:rPr>
              <w:t>2,479</w:t>
            </w:r>
          </w:p>
        </w:tc>
        <w:tc>
          <w:tcPr>
            <w:tcW w:w="0" w:type="dxa"/>
            <w:vAlign w:val="bottom"/>
          </w:tcPr>
          <w:p>
            <w:pPr>
              <w:spacing w:after="0"/>
              <w:rPr>
                <w:sz w:val="1"/>
                <w:szCs w:val="1"/>
                <w:color w:val="auto"/>
              </w:rPr>
            </w:pPr>
          </w:p>
        </w:tc>
      </w:tr>
      <w:tr>
        <w:trPr>
          <w:trHeight w:val="21"/>
        </w:trPr>
        <w:tc>
          <w:tcPr>
            <w:tcW w:w="5560" w:type="dxa"/>
            <w:vAlign w:val="bottom"/>
            <w:vMerge w:val="restart"/>
          </w:tcPr>
          <w:p>
            <w:pPr>
              <w:ind w:left="20"/>
              <w:spacing w:after="0"/>
              <w:rPr>
                <w:sz w:val="20"/>
                <w:szCs w:val="20"/>
                <w:color w:val="auto"/>
              </w:rPr>
            </w:pPr>
            <w:r>
              <w:rPr>
                <w:rFonts w:ascii="Arial" w:cs="Arial" w:eastAsia="Arial" w:hAnsi="Arial"/>
                <w:sz w:val="14"/>
                <w:szCs w:val="14"/>
                <w:color w:val="auto"/>
              </w:rPr>
              <w:t>Net Income (Loss) Margin</w:t>
            </w:r>
          </w:p>
        </w:tc>
        <w:tc>
          <w:tcPr>
            <w:tcW w:w="100" w:type="dxa"/>
            <w:vAlign w:val="bottom"/>
            <w:tcBorders>
              <w:bottom w:val="single" w:sz="8" w:color="B6B6B6"/>
            </w:tcBorders>
            <w:shd w:val="clear" w:color="auto" w:fill="B6B6B6"/>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106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104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10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5560" w:type="dxa"/>
            <w:vAlign w:val="bottom"/>
            <w:vMerge w:val="continue"/>
          </w:tcPr>
          <w:p>
            <w:pPr>
              <w:spacing w:after="0"/>
              <w:rPr>
                <w:sz w:val="16"/>
                <w:szCs w:val="16"/>
                <w:color w:val="auto"/>
              </w:rPr>
            </w:pPr>
          </w:p>
        </w:tc>
        <w:tc>
          <w:tcPr>
            <w:tcW w:w="100" w:type="dxa"/>
            <w:vAlign w:val="bottom"/>
            <w:shd w:val="clear" w:color="auto" w:fill="B6B6B6"/>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(918.3)%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11"/>
        </w:trPr>
        <w:tc>
          <w:tcPr>
            <w:tcW w:w="556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B6B6B6"/>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left="340" w:right="120" w:hanging="332"/>
        <w:spacing w:after="0" w:line="250" w:lineRule="auto"/>
        <w:tabs>
          <w:tab w:leader="none" w:pos="332"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indefinite-lived intangible asset, definite-lived intangible asset, capitalized software and other long-lived asset impairment charges for the three and nine months ended September 30, 2025. For the nine months ended September 30, 2025, the amount includes one-time gains of $0.3 million from the remeasurement of the lease liability and adjustment of the ROU asset (which was previously impaired) related to the early termination of leases during the first half of the fiscal year.</w:t>
      </w:r>
    </w:p>
    <w:p>
      <w:pPr>
        <w:spacing w:after="0" w:line="1" w:lineRule="exact"/>
        <w:rPr>
          <w:rFonts w:ascii="Arial" w:cs="Arial" w:eastAsia="Arial" w:hAnsi="Arial"/>
          <w:sz w:val="13"/>
          <w:szCs w:val="13"/>
          <w:i w:val="1"/>
          <w:iCs w:val="1"/>
          <w:color w:val="auto"/>
        </w:rPr>
      </w:pP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on debt extinguishment related to entry into Amendment No. 14 to the Existing Credit Agreement and the Superpriority Credit Agreement.</w:t>
      </w:r>
    </w:p>
    <w:p>
      <w:pPr>
        <w:ind w:left="340" w:right="160" w:hanging="332"/>
        <w:spacing w:after="0" w:line="242" w:lineRule="auto"/>
        <w:tabs>
          <w:tab w:leader="none" w:pos="332"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(benefit) relating to equity awards as well as share-based compensation expense (benefit) relating to liability classified awards that will be settled in cash.</w:t>
      </w:r>
    </w:p>
    <w:p>
      <w:pPr>
        <w:spacing w:after="0" w:line="1" w:lineRule="exact"/>
        <w:rPr>
          <w:rFonts w:ascii="Arial" w:cs="Arial" w:eastAsia="Arial" w:hAnsi="Arial"/>
          <w:sz w:val="13"/>
          <w:szCs w:val="13"/>
          <w:i w:val="1"/>
          <w:iCs w:val="1"/>
          <w:color w:val="auto"/>
        </w:rPr>
      </w:pP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non-routine consulting fees and other professional services.</w:t>
      </w:r>
    </w:p>
    <w:p>
      <w:pPr>
        <w:spacing w:after="0" w:line="7" w:lineRule="exact"/>
        <w:rPr>
          <w:rFonts w:ascii="Arial" w:cs="Arial" w:eastAsia="Arial" w:hAnsi="Arial"/>
          <w:sz w:val="13"/>
          <w:szCs w:val="13"/>
          <w:i w:val="1"/>
          <w:iCs w:val="1"/>
          <w:color w:val="auto"/>
        </w:rPr>
      </w:pPr>
    </w:p>
    <w:p>
      <w:pPr>
        <w:ind w:left="340" w:right="220" w:hanging="332"/>
        <w:spacing w:after="0" w:line="238" w:lineRule="auto"/>
        <w:tabs>
          <w:tab w:leader="none" w:pos="332"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fees, settlement accruals and other expenses related to certain acquisitions, litigation, Existing Credit Agreement amendments or new credit agreements and other non-routine legal or regulatory matters.</w:t>
      </w: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severance costs and other fees associated with a reduction in workforce unrelated to restructuring activities.</w:t>
      </w:r>
    </w:p>
    <w:p>
      <w:pPr>
        <w:ind w:left="340" w:right="360" w:hanging="332"/>
        <w:spacing w:after="0" w:line="267" w:lineRule="auto"/>
        <w:tabs>
          <w:tab w:leader="none" w:pos="332"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excess of the acquisition-date fair value of the net assets acquired over the acquisition-date fair value of the consideration transferred related to the acquisition of e-TeleQuote during the three months ended September 30, 2024.</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depicts the disaggregation of revenue and is consistent with how the Company evaluates its financial performance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tcPr>
          <w:p>
            <w:pPr>
              <w:ind w:left="140"/>
              <w:spacing w:after="0"/>
              <w:rPr>
                <w:sz w:val="20"/>
                <w:szCs w:val="20"/>
                <w:color w:val="auto"/>
              </w:rPr>
            </w:pPr>
            <w:r>
              <w:rPr>
                <w:rFonts w:ascii="Arial" w:cs="Arial" w:eastAsia="Arial" w:hAnsi="Arial"/>
                <w:sz w:val="14"/>
                <w:szCs w:val="14"/>
                <w:color w:val="auto"/>
              </w:rPr>
              <w:t>Three months ended Sep. 30,</w:t>
            </w:r>
          </w:p>
        </w:tc>
        <w:tc>
          <w:tcPr>
            <w:tcW w:w="240" w:type="dxa"/>
            <w:vAlign w:val="bottom"/>
          </w:tcPr>
          <w:p>
            <w:pPr>
              <w:spacing w:after="0"/>
              <w:rPr>
                <w:sz w:val="17"/>
                <w:szCs w:val="17"/>
                <w:color w:val="auto"/>
              </w:rPr>
            </w:pPr>
          </w:p>
        </w:tc>
        <w:tc>
          <w:tcPr>
            <w:tcW w:w="2400" w:type="dxa"/>
            <w:vAlign w:val="bottom"/>
            <w:gridSpan w:val="4"/>
          </w:tcPr>
          <w:p>
            <w:pPr>
              <w:jc w:val="right"/>
              <w:ind w:right="328"/>
              <w:spacing w:after="0"/>
              <w:rPr>
                <w:sz w:val="20"/>
                <w:szCs w:val="20"/>
                <w:color w:val="auto"/>
              </w:rPr>
            </w:pPr>
            <w:r>
              <w:rPr>
                <w:rFonts w:ascii="Arial" w:cs="Arial" w:eastAsia="Arial" w:hAnsi="Arial"/>
                <w:sz w:val="14"/>
                <w:szCs w:val="14"/>
                <w:color w:val="auto"/>
              </w:rPr>
              <w:t>Nine months ended Sep. 30,</w:t>
            </w:r>
          </w:p>
        </w:tc>
      </w:tr>
      <w:tr>
        <w:trPr>
          <w:trHeight w:val="194"/>
        </w:trPr>
        <w:tc>
          <w:tcPr>
            <w:tcW w:w="546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B6B6B6"/>
            </w:tcBorders>
            <w:shd w:val="clear" w:color="auto" w:fill="B6B6B6"/>
          </w:tcPr>
          <w:p>
            <w:pPr>
              <w:spacing w:after="0"/>
              <w:rPr>
                <w:sz w:val="16"/>
                <w:szCs w:val="16"/>
                <w:color w:val="auto"/>
              </w:rPr>
            </w:pPr>
          </w:p>
        </w:tc>
        <w:tc>
          <w:tcPr>
            <w:tcW w:w="240" w:type="dxa"/>
            <w:vAlign w:val="bottom"/>
            <w:tcBorders>
              <w:bottom w:val="single" w:sz="8" w:color="929292"/>
            </w:tcBorders>
          </w:tcPr>
          <w:p>
            <w:pPr>
              <w:spacing w:after="0"/>
              <w:rPr>
                <w:sz w:val="16"/>
                <w:szCs w:val="16"/>
                <w:color w:val="auto"/>
              </w:rPr>
            </w:pPr>
          </w:p>
        </w:tc>
        <w:tc>
          <w:tcPr>
            <w:tcW w:w="1040" w:type="dxa"/>
            <w:vAlign w:val="bottom"/>
            <w:tcBorders>
              <w:bottom w:val="single" w:sz="8" w:color="929292"/>
            </w:tcBorders>
          </w:tcPr>
          <w:p>
            <w:pPr>
              <w:jc w:val="right"/>
              <w:ind w:right="40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280" w:type="dxa"/>
            <w:vAlign w:val="bottom"/>
            <w:tcBorders>
              <w:bottom w:val="single" w:sz="8" w:color="929292"/>
            </w:tcBorders>
          </w:tcPr>
          <w:p>
            <w:pPr>
              <w:spacing w:after="0"/>
              <w:rPr>
                <w:sz w:val="16"/>
                <w:szCs w:val="16"/>
                <w:color w:val="auto"/>
              </w:rPr>
            </w:pPr>
          </w:p>
        </w:tc>
        <w:tc>
          <w:tcPr>
            <w:tcW w:w="1000" w:type="dxa"/>
            <w:vAlign w:val="bottom"/>
            <w:tcBorders>
              <w:bottom w:val="single" w:sz="8" w:color="929292"/>
            </w:tcBorders>
          </w:tcPr>
          <w:p>
            <w:pPr>
              <w:jc w:val="right"/>
              <w:ind w:right="40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240" w:type="dxa"/>
            <w:vAlign w:val="bottom"/>
            <w:tcBorders>
              <w:bottom w:val="single" w:sz="8" w:color="929292"/>
            </w:tcBorders>
          </w:tcPr>
          <w:p>
            <w:pPr>
              <w:spacing w:after="0"/>
              <w:rPr>
                <w:sz w:val="16"/>
                <w:szCs w:val="16"/>
                <w:color w:val="auto"/>
              </w:rPr>
            </w:pPr>
          </w:p>
        </w:tc>
        <w:tc>
          <w:tcPr>
            <w:tcW w:w="1040" w:type="dxa"/>
            <w:vAlign w:val="bottom"/>
            <w:tcBorders>
              <w:bottom w:val="single" w:sz="8" w:color="929292"/>
            </w:tcBorders>
          </w:tcPr>
          <w:p>
            <w:pPr>
              <w:jc w:val="right"/>
              <w:ind w:right="408"/>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6"/>
                <w:szCs w:val="16"/>
                <w:color w:val="auto"/>
              </w:rPr>
            </w:pPr>
          </w:p>
        </w:tc>
        <w:tc>
          <w:tcPr>
            <w:tcW w:w="300" w:type="dxa"/>
            <w:vAlign w:val="bottom"/>
            <w:tcBorders>
              <w:bottom w:val="single" w:sz="8" w:color="929292"/>
            </w:tcBorders>
          </w:tcPr>
          <w:p>
            <w:pPr>
              <w:spacing w:after="0"/>
              <w:rPr>
                <w:sz w:val="16"/>
                <w:szCs w:val="16"/>
                <w:color w:val="auto"/>
              </w:rPr>
            </w:pPr>
          </w:p>
        </w:tc>
        <w:tc>
          <w:tcPr>
            <w:tcW w:w="980" w:type="dxa"/>
            <w:vAlign w:val="bottom"/>
            <w:tcBorders>
              <w:bottom w:val="single" w:sz="8" w:color="929292"/>
            </w:tcBorders>
          </w:tcPr>
          <w:p>
            <w:pPr>
              <w:jc w:val="right"/>
              <w:ind w:right="408"/>
              <w:spacing w:after="0"/>
              <w:rPr>
                <w:sz w:val="20"/>
                <w:szCs w:val="20"/>
                <w:color w:val="auto"/>
              </w:rPr>
            </w:pPr>
            <w:r>
              <w:rPr>
                <w:rFonts w:ascii="Arial" w:cs="Arial" w:eastAsia="Arial" w:hAnsi="Arial"/>
                <w:sz w:val="14"/>
                <w:szCs w:val="14"/>
                <w:color w:val="auto"/>
              </w:rPr>
              <w:t>2024</w:t>
            </w:r>
          </w:p>
        </w:tc>
      </w:tr>
      <w:tr>
        <w:trPr>
          <w:trHeight w:val="192"/>
        </w:trPr>
        <w:tc>
          <w:tcPr>
            <w:tcW w:w="5460" w:type="dxa"/>
            <w:vAlign w:val="bottom"/>
          </w:tcPr>
          <w:p>
            <w:pPr>
              <w:ind w:left="20"/>
              <w:spacing w:after="0"/>
              <w:rPr>
                <w:sz w:val="20"/>
                <w:szCs w:val="20"/>
                <w:color w:val="auto"/>
              </w:rPr>
            </w:pPr>
            <w:r>
              <w:rPr>
                <w:rFonts w:ascii="Arial" w:cs="Arial" w:eastAsia="Arial" w:hAnsi="Arial"/>
                <w:sz w:val="14"/>
                <w:szCs w:val="14"/>
                <w:color w:val="auto"/>
              </w:rPr>
              <w:t>Medicare Revenue</w:t>
            </w:r>
          </w:p>
        </w:tc>
        <w:tc>
          <w:tcPr>
            <w:tcW w:w="100" w:type="dxa"/>
            <w:vAlign w:val="bottom"/>
            <w:shd w:val="clear" w:color="auto" w:fill="B6B6B6"/>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5460" w:type="dxa"/>
            <w:vAlign w:val="bottom"/>
          </w:tcPr>
          <w:p>
            <w:pPr>
              <w:ind w:left="240"/>
              <w:spacing w:after="0"/>
              <w:rPr>
                <w:sz w:val="20"/>
                <w:szCs w:val="20"/>
                <w:color w:val="auto"/>
              </w:rPr>
            </w:pPr>
            <w:r>
              <w:rPr>
                <w:rFonts w:ascii="Arial" w:cs="Arial" w:eastAsia="Arial" w:hAnsi="Arial"/>
                <w:sz w:val="14"/>
                <w:szCs w:val="14"/>
                <w:color w:val="auto"/>
              </w:rPr>
              <w:t>Medicare Agency Revenue</w:t>
            </w:r>
          </w:p>
        </w:tc>
        <w:tc>
          <w:tcPr>
            <w:tcW w:w="100" w:type="dxa"/>
            <w:vAlign w:val="bottom"/>
            <w:shd w:val="clear" w:color="auto" w:fill="B6B6B6"/>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5"/>
        </w:trPr>
        <w:tc>
          <w:tcPr>
            <w:tcW w:w="5460" w:type="dxa"/>
            <w:vAlign w:val="bottom"/>
          </w:tcPr>
          <w:p>
            <w:pPr>
              <w:jc w:val="center"/>
              <w:ind w:right="2948"/>
              <w:spacing w:after="0"/>
              <w:rPr>
                <w:sz w:val="20"/>
                <w:szCs w:val="20"/>
                <w:color w:val="auto"/>
              </w:rPr>
            </w:pPr>
            <w:r>
              <w:rPr>
                <w:rFonts w:ascii="Arial" w:cs="Arial" w:eastAsia="Arial" w:hAnsi="Arial"/>
                <w:sz w:val="14"/>
                <w:szCs w:val="14"/>
                <w:color w:val="auto"/>
              </w:rPr>
              <w:t>Commission Revenue</w:t>
            </w:r>
            <w:r>
              <w:rPr>
                <w:rFonts w:ascii="Arial" w:cs="Arial" w:eastAsia="Arial" w:hAnsi="Arial"/>
                <w:sz w:val="18"/>
                <w:szCs w:val="18"/>
                <w:color w:val="auto"/>
                <w:vertAlign w:val="superscript"/>
              </w:rPr>
              <w:t>(1)</w:t>
            </w:r>
          </w:p>
        </w:tc>
        <w:tc>
          <w:tcPr>
            <w:tcW w:w="100" w:type="dxa"/>
            <w:vAlign w:val="bottom"/>
            <w:shd w:val="clear" w:color="auto" w:fill="B6B6B6"/>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22,172</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77,868</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262,603</w:t>
            </w:r>
          </w:p>
        </w:tc>
        <w:tc>
          <w:tcPr>
            <w:tcW w:w="8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228,154</w:t>
            </w:r>
          </w:p>
        </w:tc>
      </w:tr>
      <w:tr>
        <w:trPr>
          <w:trHeight w:val="192"/>
        </w:trPr>
        <w:tc>
          <w:tcPr>
            <w:tcW w:w="5460" w:type="dxa"/>
            <w:vAlign w:val="bottom"/>
          </w:tcPr>
          <w:p>
            <w:pPr>
              <w:ind w:left="460"/>
              <w:spacing w:after="0"/>
              <w:rPr>
                <w:sz w:val="20"/>
                <w:szCs w:val="20"/>
                <w:color w:val="auto"/>
              </w:rPr>
            </w:pPr>
            <w:r>
              <w:rPr>
                <w:rFonts w:ascii="Arial" w:cs="Arial" w:eastAsia="Arial" w:hAnsi="Arial"/>
                <w:sz w:val="14"/>
                <w:szCs w:val="14"/>
                <w:color w:val="auto"/>
              </w:rPr>
              <w:t>Partner Marketing and Other Revenue</w:t>
            </w:r>
          </w:p>
        </w:tc>
        <w:tc>
          <w:tcPr>
            <w:tcW w:w="100" w:type="dxa"/>
            <w:vAlign w:val="bottom"/>
            <w:tcBorders>
              <w:bottom w:val="single" w:sz="8" w:color="B6B6B6"/>
            </w:tcBorders>
            <w:shd w:val="clear" w:color="auto" w:fill="B6B6B6"/>
          </w:tcPr>
          <w:p>
            <w:pPr>
              <w:spacing w:after="0"/>
              <w:rPr>
                <w:sz w:val="16"/>
                <w:szCs w:val="16"/>
                <w:color w:val="auto"/>
              </w:rPr>
            </w:pPr>
          </w:p>
        </w:tc>
        <w:tc>
          <w:tcPr>
            <w:tcW w:w="240" w:type="dxa"/>
            <w:vAlign w:val="bottom"/>
            <w:tcBorders>
              <w:bottom w:val="single" w:sz="8" w:color="929292"/>
            </w:tcBorders>
          </w:tcPr>
          <w:p>
            <w:pPr>
              <w:spacing w:after="0"/>
              <w:rPr>
                <w:sz w:val="16"/>
                <w:szCs w:val="16"/>
                <w:color w:val="auto"/>
              </w:rPr>
            </w:pP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4,116</w:t>
            </w:r>
          </w:p>
        </w:tc>
        <w:tc>
          <w:tcPr>
            <w:tcW w:w="100" w:type="dxa"/>
            <w:vAlign w:val="bottom"/>
          </w:tcPr>
          <w:p>
            <w:pPr>
              <w:spacing w:after="0"/>
              <w:rPr>
                <w:sz w:val="16"/>
                <w:szCs w:val="16"/>
                <w:color w:val="auto"/>
              </w:rPr>
            </w:pPr>
          </w:p>
        </w:tc>
        <w:tc>
          <w:tcPr>
            <w:tcW w:w="280" w:type="dxa"/>
            <w:vAlign w:val="bottom"/>
            <w:tcBorders>
              <w:bottom w:val="single" w:sz="8" w:color="929292"/>
            </w:tcBorders>
          </w:tcPr>
          <w:p>
            <w:pPr>
              <w:spacing w:after="0"/>
              <w:rPr>
                <w:sz w:val="16"/>
                <w:szCs w:val="16"/>
                <w:color w:val="auto"/>
              </w:rPr>
            </w:pPr>
          </w:p>
        </w:tc>
        <w:tc>
          <w:tcPr>
            <w:tcW w:w="100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14,408</w:t>
            </w:r>
          </w:p>
        </w:tc>
        <w:tc>
          <w:tcPr>
            <w:tcW w:w="100" w:type="dxa"/>
            <w:vAlign w:val="bottom"/>
          </w:tcPr>
          <w:p>
            <w:pPr>
              <w:spacing w:after="0"/>
              <w:rPr>
                <w:sz w:val="16"/>
                <w:szCs w:val="16"/>
                <w:color w:val="auto"/>
              </w:rPr>
            </w:pPr>
          </w:p>
        </w:tc>
        <w:tc>
          <w:tcPr>
            <w:tcW w:w="240" w:type="dxa"/>
            <w:vAlign w:val="bottom"/>
            <w:tcBorders>
              <w:bottom w:val="single" w:sz="8" w:color="929292"/>
            </w:tcBorders>
          </w:tcPr>
          <w:p>
            <w:pPr>
              <w:spacing w:after="0"/>
              <w:rPr>
                <w:sz w:val="16"/>
                <w:szCs w:val="16"/>
                <w:color w:val="auto"/>
              </w:rPr>
            </w:pPr>
          </w:p>
        </w:tc>
        <w:tc>
          <w:tcPr>
            <w:tcW w:w="10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32,492</w:t>
            </w:r>
          </w:p>
        </w:tc>
        <w:tc>
          <w:tcPr>
            <w:tcW w:w="80" w:type="dxa"/>
            <w:vAlign w:val="bottom"/>
          </w:tcPr>
          <w:p>
            <w:pPr>
              <w:spacing w:after="0"/>
              <w:rPr>
                <w:sz w:val="16"/>
                <w:szCs w:val="16"/>
                <w:color w:val="auto"/>
              </w:rPr>
            </w:pPr>
          </w:p>
        </w:tc>
        <w:tc>
          <w:tcPr>
            <w:tcW w:w="300" w:type="dxa"/>
            <w:vAlign w:val="bottom"/>
            <w:tcBorders>
              <w:bottom w:val="single" w:sz="8" w:color="929292"/>
            </w:tcBorders>
          </w:tcPr>
          <w:p>
            <w:pPr>
              <w:spacing w:after="0"/>
              <w:rPr>
                <w:sz w:val="16"/>
                <w:szCs w:val="16"/>
                <w:color w:val="auto"/>
              </w:rPr>
            </w:pPr>
          </w:p>
        </w:tc>
        <w:tc>
          <w:tcPr>
            <w:tcW w:w="9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47,926</w:t>
            </w:r>
          </w:p>
        </w:tc>
      </w:tr>
      <w:tr>
        <w:trPr>
          <w:trHeight w:val="196"/>
        </w:trPr>
        <w:tc>
          <w:tcPr>
            <w:tcW w:w="5460" w:type="dxa"/>
            <w:vAlign w:val="bottom"/>
          </w:tcPr>
          <w:p>
            <w:pPr>
              <w:jc w:val="center"/>
              <w:ind w:right="2948"/>
              <w:spacing w:after="0"/>
              <w:rPr>
                <w:sz w:val="20"/>
                <w:szCs w:val="20"/>
                <w:color w:val="auto"/>
              </w:rPr>
            </w:pPr>
            <w:r>
              <w:rPr>
                <w:rFonts w:ascii="Arial" w:cs="Arial" w:eastAsia="Arial" w:hAnsi="Arial"/>
                <w:sz w:val="14"/>
                <w:szCs w:val="14"/>
                <w:color w:val="auto"/>
              </w:rPr>
              <w:t>Total Medicare Agency Revenue</w:t>
            </w:r>
          </w:p>
        </w:tc>
        <w:tc>
          <w:tcPr>
            <w:tcW w:w="100" w:type="dxa"/>
            <w:vAlign w:val="bottom"/>
            <w:tcBorders>
              <w:bottom w:val="single" w:sz="8" w:color="B6B6B6"/>
            </w:tcBorders>
            <w:shd w:val="clear" w:color="auto" w:fill="B6B6B6"/>
          </w:tcPr>
          <w:p>
            <w:pPr>
              <w:spacing w:after="0"/>
              <w:rPr>
                <w:sz w:val="17"/>
                <w:szCs w:val="17"/>
                <w:color w:val="auto"/>
              </w:rPr>
            </w:pPr>
          </w:p>
        </w:tc>
        <w:tc>
          <w:tcPr>
            <w:tcW w:w="240" w:type="dxa"/>
            <w:vAlign w:val="bottom"/>
            <w:tcBorders>
              <w:bottom w:val="single" w:sz="8" w:color="929292"/>
            </w:tcBorders>
          </w:tcPr>
          <w:p>
            <w:pPr>
              <w:spacing w:after="0"/>
              <w:rPr>
                <w:sz w:val="17"/>
                <w:szCs w:val="17"/>
                <w:color w:val="auto"/>
              </w:rPr>
            </w:pP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26,288</w:t>
            </w:r>
          </w:p>
        </w:tc>
        <w:tc>
          <w:tcPr>
            <w:tcW w:w="100" w:type="dxa"/>
            <w:vAlign w:val="bottom"/>
          </w:tcPr>
          <w:p>
            <w:pPr>
              <w:spacing w:after="0"/>
              <w:rPr>
                <w:sz w:val="17"/>
                <w:szCs w:val="17"/>
                <w:color w:val="auto"/>
              </w:rPr>
            </w:pPr>
          </w:p>
        </w:tc>
        <w:tc>
          <w:tcPr>
            <w:tcW w:w="280" w:type="dxa"/>
            <w:vAlign w:val="bottom"/>
            <w:tcBorders>
              <w:bottom w:val="single" w:sz="8" w:color="929292"/>
            </w:tcBorders>
          </w:tcPr>
          <w:p>
            <w:pPr>
              <w:spacing w:after="0"/>
              <w:rPr>
                <w:sz w:val="17"/>
                <w:szCs w:val="17"/>
                <w:color w:val="auto"/>
              </w:rPr>
            </w:pPr>
          </w:p>
        </w:tc>
        <w:tc>
          <w:tcPr>
            <w:tcW w:w="100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92,276</w:t>
            </w:r>
          </w:p>
        </w:tc>
        <w:tc>
          <w:tcPr>
            <w:tcW w:w="100" w:type="dxa"/>
            <w:vAlign w:val="bottom"/>
          </w:tcPr>
          <w:p>
            <w:pPr>
              <w:spacing w:after="0"/>
              <w:rPr>
                <w:sz w:val="17"/>
                <w:szCs w:val="17"/>
                <w:color w:val="auto"/>
              </w:rPr>
            </w:pPr>
          </w:p>
        </w:tc>
        <w:tc>
          <w:tcPr>
            <w:tcW w:w="240" w:type="dxa"/>
            <w:vAlign w:val="bottom"/>
            <w:tcBorders>
              <w:bottom w:val="single" w:sz="8" w:color="929292"/>
            </w:tcBorders>
          </w:tcPr>
          <w:p>
            <w:pPr>
              <w:spacing w:after="0"/>
              <w:rPr>
                <w:sz w:val="17"/>
                <w:szCs w:val="17"/>
                <w:color w:val="auto"/>
              </w:rPr>
            </w:pPr>
          </w:p>
        </w:tc>
        <w:tc>
          <w:tcPr>
            <w:tcW w:w="10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295,095</w:t>
            </w:r>
          </w:p>
        </w:tc>
        <w:tc>
          <w:tcPr>
            <w:tcW w:w="80" w:type="dxa"/>
            <w:vAlign w:val="bottom"/>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9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276,080</w:t>
            </w:r>
          </w:p>
        </w:tc>
      </w:tr>
      <w:tr>
        <w:trPr>
          <w:trHeight w:val="196"/>
        </w:trPr>
        <w:tc>
          <w:tcPr>
            <w:tcW w:w="5460" w:type="dxa"/>
            <w:vAlign w:val="bottom"/>
          </w:tcPr>
          <w:p>
            <w:pPr>
              <w:jc w:val="center"/>
              <w:ind w:right="2988"/>
              <w:spacing w:after="0"/>
              <w:rPr>
                <w:sz w:val="20"/>
                <w:szCs w:val="20"/>
                <w:color w:val="auto"/>
              </w:rPr>
            </w:pPr>
            <w:r>
              <w:rPr>
                <w:rFonts w:ascii="Arial" w:cs="Arial" w:eastAsia="Arial" w:hAnsi="Arial"/>
                <w:sz w:val="14"/>
                <w:szCs w:val="14"/>
                <w:color w:val="auto"/>
              </w:rPr>
              <w:t>Medicare Non-Agency Revenue</w:t>
            </w:r>
          </w:p>
        </w:tc>
        <w:tc>
          <w:tcPr>
            <w:tcW w:w="100" w:type="dxa"/>
            <w:vAlign w:val="bottom"/>
            <w:tcBorders>
              <w:bottom w:val="single" w:sz="8" w:color="B6B6B6"/>
            </w:tcBorders>
            <w:shd w:val="clear" w:color="auto" w:fill="B6B6B6"/>
          </w:tcPr>
          <w:p>
            <w:pPr>
              <w:spacing w:after="0"/>
              <w:rPr>
                <w:sz w:val="17"/>
                <w:szCs w:val="17"/>
                <w:color w:val="auto"/>
              </w:rPr>
            </w:pPr>
          </w:p>
        </w:tc>
        <w:tc>
          <w:tcPr>
            <w:tcW w:w="240" w:type="dxa"/>
            <w:vAlign w:val="bottom"/>
            <w:tcBorders>
              <w:bottom w:val="single" w:sz="8" w:color="929292"/>
            </w:tcBorders>
          </w:tcPr>
          <w:p>
            <w:pPr>
              <w:spacing w:after="0"/>
              <w:rPr>
                <w:sz w:val="17"/>
                <w:szCs w:val="17"/>
                <w:color w:val="auto"/>
              </w:rPr>
            </w:pP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7"/>
                <w:szCs w:val="17"/>
                <w:color w:val="auto"/>
              </w:rPr>
            </w:pPr>
          </w:p>
        </w:tc>
        <w:tc>
          <w:tcPr>
            <w:tcW w:w="280" w:type="dxa"/>
            <w:vAlign w:val="bottom"/>
            <w:tcBorders>
              <w:bottom w:val="single" w:sz="8" w:color="929292"/>
            </w:tcBorders>
          </w:tcPr>
          <w:p>
            <w:pPr>
              <w:spacing w:after="0"/>
              <w:rPr>
                <w:sz w:val="17"/>
                <w:szCs w:val="17"/>
                <w:color w:val="auto"/>
              </w:rPr>
            </w:pPr>
          </w:p>
        </w:tc>
        <w:tc>
          <w:tcPr>
            <w:tcW w:w="100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24,532</w:t>
            </w:r>
          </w:p>
        </w:tc>
        <w:tc>
          <w:tcPr>
            <w:tcW w:w="100" w:type="dxa"/>
            <w:vAlign w:val="bottom"/>
          </w:tcPr>
          <w:p>
            <w:pPr>
              <w:spacing w:after="0"/>
              <w:rPr>
                <w:sz w:val="17"/>
                <w:szCs w:val="17"/>
                <w:color w:val="auto"/>
              </w:rPr>
            </w:pPr>
          </w:p>
        </w:tc>
        <w:tc>
          <w:tcPr>
            <w:tcW w:w="240" w:type="dxa"/>
            <w:vAlign w:val="bottom"/>
            <w:tcBorders>
              <w:bottom w:val="single" w:sz="8" w:color="929292"/>
            </w:tcBorders>
          </w:tcPr>
          <w:p>
            <w:pPr>
              <w:spacing w:after="0"/>
              <w:rPr>
                <w:sz w:val="17"/>
                <w:szCs w:val="17"/>
                <w:color w:val="auto"/>
              </w:rPr>
            </w:pPr>
          </w:p>
        </w:tc>
        <w:tc>
          <w:tcPr>
            <w:tcW w:w="10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36,592</w:t>
            </w:r>
          </w:p>
        </w:tc>
        <w:tc>
          <w:tcPr>
            <w:tcW w:w="80" w:type="dxa"/>
            <w:vAlign w:val="bottom"/>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9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130,573</w:t>
            </w:r>
          </w:p>
        </w:tc>
      </w:tr>
      <w:tr>
        <w:trPr>
          <w:trHeight w:val="201"/>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Total Medicare Revenue</w:t>
            </w:r>
          </w:p>
        </w:tc>
        <w:tc>
          <w:tcPr>
            <w:tcW w:w="100" w:type="dxa"/>
            <w:vAlign w:val="bottom"/>
            <w:tcBorders>
              <w:bottom w:val="single" w:sz="8" w:color="B6B6B6"/>
            </w:tcBorders>
            <w:shd w:val="clear" w:color="auto" w:fill="B6B6B6"/>
          </w:tcPr>
          <w:p>
            <w:pPr>
              <w:spacing w:after="0"/>
              <w:rPr>
                <w:sz w:val="17"/>
                <w:szCs w:val="17"/>
                <w:color w:val="auto"/>
              </w:rPr>
            </w:pPr>
          </w:p>
        </w:tc>
        <w:tc>
          <w:tcPr>
            <w:tcW w:w="240" w:type="dxa"/>
            <w:vAlign w:val="bottom"/>
            <w:tcBorders>
              <w:bottom w:val="single" w:sz="8" w:color="929292"/>
            </w:tcBorders>
          </w:tcPr>
          <w:p>
            <w:pPr>
              <w:spacing w:after="0"/>
              <w:rPr>
                <w:sz w:val="17"/>
                <w:szCs w:val="17"/>
                <w:color w:val="auto"/>
              </w:rPr>
            </w:pP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26,898</w:t>
            </w:r>
          </w:p>
        </w:tc>
        <w:tc>
          <w:tcPr>
            <w:tcW w:w="100" w:type="dxa"/>
            <w:vAlign w:val="bottom"/>
          </w:tcPr>
          <w:p>
            <w:pPr>
              <w:spacing w:after="0"/>
              <w:rPr>
                <w:sz w:val="17"/>
                <w:szCs w:val="17"/>
                <w:color w:val="auto"/>
              </w:rPr>
            </w:pPr>
          </w:p>
        </w:tc>
        <w:tc>
          <w:tcPr>
            <w:tcW w:w="280" w:type="dxa"/>
            <w:vAlign w:val="bottom"/>
            <w:tcBorders>
              <w:bottom w:val="single" w:sz="8" w:color="929292"/>
            </w:tcBorders>
          </w:tcPr>
          <w:p>
            <w:pPr>
              <w:spacing w:after="0"/>
              <w:rPr>
                <w:sz w:val="17"/>
                <w:szCs w:val="17"/>
                <w:color w:val="auto"/>
              </w:rPr>
            </w:pPr>
          </w:p>
        </w:tc>
        <w:tc>
          <w:tcPr>
            <w:tcW w:w="100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116,808</w:t>
            </w:r>
          </w:p>
        </w:tc>
        <w:tc>
          <w:tcPr>
            <w:tcW w:w="100" w:type="dxa"/>
            <w:vAlign w:val="bottom"/>
          </w:tcPr>
          <w:p>
            <w:pPr>
              <w:spacing w:after="0"/>
              <w:rPr>
                <w:sz w:val="17"/>
                <w:szCs w:val="17"/>
                <w:color w:val="auto"/>
              </w:rPr>
            </w:pPr>
          </w:p>
        </w:tc>
        <w:tc>
          <w:tcPr>
            <w:tcW w:w="240" w:type="dxa"/>
            <w:vAlign w:val="bottom"/>
            <w:tcBorders>
              <w:bottom w:val="single" w:sz="8" w:color="929292"/>
            </w:tcBorders>
          </w:tcPr>
          <w:p>
            <w:pPr>
              <w:spacing w:after="0"/>
              <w:rPr>
                <w:sz w:val="17"/>
                <w:szCs w:val="17"/>
                <w:color w:val="auto"/>
              </w:rPr>
            </w:pPr>
          </w:p>
        </w:tc>
        <w:tc>
          <w:tcPr>
            <w:tcW w:w="10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331,687</w:t>
            </w:r>
          </w:p>
        </w:tc>
        <w:tc>
          <w:tcPr>
            <w:tcW w:w="80" w:type="dxa"/>
            <w:vAlign w:val="bottom"/>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9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406,653</w:t>
            </w:r>
          </w:p>
        </w:tc>
      </w:tr>
      <w:tr>
        <w:trPr>
          <w:trHeight w:val="176"/>
        </w:trPr>
        <w:tc>
          <w:tcPr>
            <w:tcW w:w="546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10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5460" w:type="dxa"/>
            <w:vAlign w:val="bottom"/>
          </w:tcPr>
          <w:p>
            <w:pPr>
              <w:ind w:left="240"/>
              <w:spacing w:after="0"/>
              <w:rPr>
                <w:sz w:val="20"/>
                <w:szCs w:val="20"/>
                <w:color w:val="auto"/>
              </w:rPr>
            </w:pPr>
            <w:r>
              <w:rPr>
                <w:rFonts w:ascii="Arial" w:cs="Arial" w:eastAsia="Arial" w:hAnsi="Arial"/>
                <w:sz w:val="14"/>
                <w:szCs w:val="14"/>
                <w:color w:val="auto"/>
              </w:rPr>
              <w:t>Other Non-Agency Revenue</w:t>
            </w:r>
          </w:p>
        </w:tc>
        <w:tc>
          <w:tcPr>
            <w:tcW w:w="100" w:type="dxa"/>
            <w:vAlign w:val="bottom"/>
            <w:shd w:val="clear" w:color="auto" w:fill="B6B6B6"/>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6,886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1,119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16,587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1,896</w:t>
            </w:r>
          </w:p>
        </w:tc>
      </w:tr>
      <w:tr>
        <w:trPr>
          <w:trHeight w:val="204"/>
        </w:trPr>
        <w:tc>
          <w:tcPr>
            <w:tcW w:w="5460" w:type="dxa"/>
            <w:vAlign w:val="bottom"/>
          </w:tcPr>
          <w:p>
            <w:pPr>
              <w:ind w:left="240"/>
              <w:spacing w:after="0"/>
              <w:rPr>
                <w:sz w:val="20"/>
                <w:szCs w:val="20"/>
                <w:color w:val="auto"/>
              </w:rPr>
            </w:pPr>
            <w:r>
              <w:rPr>
                <w:rFonts w:ascii="Arial" w:cs="Arial" w:eastAsia="Arial" w:hAnsi="Arial"/>
                <w:sz w:val="14"/>
                <w:szCs w:val="14"/>
                <w:color w:val="auto"/>
              </w:rPr>
              <w:t>Other Agency Revenue</w:t>
            </w:r>
          </w:p>
        </w:tc>
        <w:tc>
          <w:tcPr>
            <w:tcW w:w="100" w:type="dxa"/>
            <w:vAlign w:val="bottom"/>
            <w:tcBorders>
              <w:bottom w:val="single" w:sz="8" w:color="B6B6B6"/>
            </w:tcBorders>
            <w:shd w:val="clear" w:color="auto" w:fill="B6B6B6"/>
          </w:tcPr>
          <w:p>
            <w:pPr>
              <w:spacing w:after="0"/>
              <w:rPr>
                <w:sz w:val="17"/>
                <w:szCs w:val="17"/>
                <w:color w:val="auto"/>
              </w:rPr>
            </w:pPr>
          </w:p>
        </w:tc>
        <w:tc>
          <w:tcPr>
            <w:tcW w:w="240" w:type="dxa"/>
            <w:vAlign w:val="bottom"/>
            <w:tcBorders>
              <w:bottom w:val="single" w:sz="8" w:color="929292"/>
            </w:tcBorders>
          </w:tcPr>
          <w:p>
            <w:pPr>
              <w:spacing w:after="0"/>
              <w:rPr>
                <w:sz w:val="17"/>
                <w:szCs w:val="17"/>
                <w:color w:val="auto"/>
              </w:rPr>
            </w:pP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7"/>
                <w:szCs w:val="17"/>
                <w:color w:val="auto"/>
              </w:rPr>
            </w:pPr>
          </w:p>
        </w:tc>
        <w:tc>
          <w:tcPr>
            <w:tcW w:w="280" w:type="dxa"/>
            <w:vAlign w:val="bottom"/>
            <w:tcBorders>
              <w:bottom w:val="single" w:sz="8" w:color="929292"/>
            </w:tcBorders>
          </w:tcPr>
          <w:p>
            <w:pPr>
              <w:spacing w:after="0"/>
              <w:rPr>
                <w:sz w:val="17"/>
                <w:szCs w:val="17"/>
                <w:color w:val="auto"/>
              </w:rPr>
            </w:pPr>
          </w:p>
        </w:tc>
        <w:tc>
          <w:tcPr>
            <w:tcW w:w="100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7"/>
                <w:szCs w:val="17"/>
                <w:color w:val="auto"/>
              </w:rPr>
            </w:pPr>
          </w:p>
        </w:tc>
        <w:tc>
          <w:tcPr>
            <w:tcW w:w="240" w:type="dxa"/>
            <w:vAlign w:val="bottom"/>
            <w:tcBorders>
              <w:bottom w:val="single" w:sz="8" w:color="929292"/>
            </w:tcBorders>
          </w:tcPr>
          <w:p>
            <w:pPr>
              <w:spacing w:after="0"/>
              <w:rPr>
                <w:sz w:val="17"/>
                <w:szCs w:val="17"/>
                <w:color w:val="auto"/>
              </w:rPr>
            </w:pPr>
          </w:p>
        </w:tc>
        <w:tc>
          <w:tcPr>
            <w:tcW w:w="10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932</w:t>
            </w:r>
          </w:p>
        </w:tc>
        <w:tc>
          <w:tcPr>
            <w:tcW w:w="80" w:type="dxa"/>
            <w:vAlign w:val="bottom"/>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9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1,213</w:t>
            </w:r>
          </w:p>
        </w:tc>
      </w:tr>
      <w:tr>
        <w:trPr>
          <w:trHeight w:val="201"/>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Total Other Revenue</w:t>
            </w:r>
          </w:p>
        </w:tc>
        <w:tc>
          <w:tcPr>
            <w:tcW w:w="100" w:type="dxa"/>
            <w:vAlign w:val="bottom"/>
            <w:tcBorders>
              <w:bottom w:val="single" w:sz="8" w:color="B6B6B6"/>
            </w:tcBorders>
            <w:shd w:val="clear" w:color="auto" w:fill="B6B6B6"/>
          </w:tcPr>
          <w:p>
            <w:pPr>
              <w:spacing w:after="0"/>
              <w:rPr>
                <w:sz w:val="17"/>
                <w:szCs w:val="17"/>
                <w:color w:val="auto"/>
              </w:rPr>
            </w:pPr>
          </w:p>
        </w:tc>
        <w:tc>
          <w:tcPr>
            <w:tcW w:w="240" w:type="dxa"/>
            <w:vAlign w:val="bottom"/>
            <w:tcBorders>
              <w:bottom w:val="single" w:sz="8" w:color="929292"/>
            </w:tcBorders>
          </w:tcPr>
          <w:p>
            <w:pPr>
              <w:spacing w:after="0"/>
              <w:rPr>
                <w:sz w:val="17"/>
                <w:szCs w:val="17"/>
                <w:color w:val="auto"/>
              </w:rPr>
            </w:pP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7,288</w:t>
            </w:r>
          </w:p>
        </w:tc>
        <w:tc>
          <w:tcPr>
            <w:tcW w:w="100" w:type="dxa"/>
            <w:vAlign w:val="bottom"/>
          </w:tcPr>
          <w:p>
            <w:pPr>
              <w:spacing w:after="0"/>
              <w:rPr>
                <w:sz w:val="17"/>
                <w:szCs w:val="17"/>
                <w:color w:val="auto"/>
              </w:rPr>
            </w:pPr>
          </w:p>
        </w:tc>
        <w:tc>
          <w:tcPr>
            <w:tcW w:w="280" w:type="dxa"/>
            <w:vAlign w:val="bottom"/>
            <w:tcBorders>
              <w:bottom w:val="single" w:sz="8" w:color="929292"/>
            </w:tcBorders>
          </w:tcPr>
          <w:p>
            <w:pPr>
              <w:spacing w:after="0"/>
              <w:rPr>
                <w:sz w:val="17"/>
                <w:szCs w:val="17"/>
                <w:color w:val="auto"/>
              </w:rPr>
            </w:pPr>
          </w:p>
        </w:tc>
        <w:tc>
          <w:tcPr>
            <w:tcW w:w="100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1,484</w:t>
            </w:r>
          </w:p>
        </w:tc>
        <w:tc>
          <w:tcPr>
            <w:tcW w:w="100" w:type="dxa"/>
            <w:vAlign w:val="bottom"/>
          </w:tcPr>
          <w:p>
            <w:pPr>
              <w:spacing w:after="0"/>
              <w:rPr>
                <w:sz w:val="17"/>
                <w:szCs w:val="17"/>
                <w:color w:val="auto"/>
              </w:rPr>
            </w:pPr>
          </w:p>
        </w:tc>
        <w:tc>
          <w:tcPr>
            <w:tcW w:w="240" w:type="dxa"/>
            <w:vAlign w:val="bottom"/>
            <w:tcBorders>
              <w:bottom w:val="single" w:sz="8" w:color="929292"/>
            </w:tcBorders>
          </w:tcPr>
          <w:p>
            <w:pPr>
              <w:spacing w:after="0"/>
              <w:rPr>
                <w:sz w:val="17"/>
                <w:szCs w:val="17"/>
                <w:color w:val="auto"/>
              </w:rPr>
            </w:pPr>
          </w:p>
        </w:tc>
        <w:tc>
          <w:tcPr>
            <w:tcW w:w="10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17,519</w:t>
            </w:r>
          </w:p>
        </w:tc>
        <w:tc>
          <w:tcPr>
            <w:tcW w:w="80" w:type="dxa"/>
            <w:vAlign w:val="bottom"/>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9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3,109</w:t>
            </w:r>
          </w:p>
        </w:tc>
      </w:tr>
      <w:tr>
        <w:trPr>
          <w:trHeight w:val="217"/>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Total Net Revenues</w:t>
            </w:r>
          </w:p>
        </w:tc>
        <w:tc>
          <w:tcPr>
            <w:tcW w:w="100" w:type="dxa"/>
            <w:vAlign w:val="bottom"/>
            <w:tcBorders>
              <w:bottom w:val="single" w:sz="8" w:color="B6B6B6"/>
            </w:tcBorders>
            <w:shd w:val="clear" w:color="auto" w:fill="B6B6B6"/>
          </w:tcPr>
          <w:p>
            <w:pPr>
              <w:spacing w:after="0"/>
              <w:rPr>
                <w:sz w:val="18"/>
                <w:szCs w:val="18"/>
                <w:color w:val="auto"/>
              </w:rPr>
            </w:pPr>
          </w:p>
        </w:tc>
        <w:tc>
          <w:tcPr>
            <w:tcW w:w="24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34,186</w:t>
            </w:r>
          </w:p>
        </w:tc>
        <w:tc>
          <w:tcPr>
            <w:tcW w:w="100" w:type="dxa"/>
            <w:vAlign w:val="bottom"/>
          </w:tcPr>
          <w:p>
            <w:pPr>
              <w:spacing w:after="0"/>
              <w:rPr>
                <w:sz w:val="18"/>
                <w:szCs w:val="18"/>
                <w:color w:val="auto"/>
              </w:rPr>
            </w:pPr>
          </w:p>
        </w:tc>
        <w:tc>
          <w:tcPr>
            <w:tcW w:w="28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b w:val="1"/>
                <w:bCs w:val="1"/>
                <w:color w:val="auto"/>
              </w:rPr>
              <w:t>118,292</w:t>
            </w:r>
          </w:p>
        </w:tc>
        <w:tc>
          <w:tcPr>
            <w:tcW w:w="100" w:type="dxa"/>
            <w:vAlign w:val="bottom"/>
          </w:tcPr>
          <w:p>
            <w:pPr>
              <w:spacing w:after="0"/>
              <w:rPr>
                <w:sz w:val="18"/>
                <w:szCs w:val="18"/>
                <w:color w:val="auto"/>
              </w:rPr>
            </w:pPr>
          </w:p>
        </w:tc>
        <w:tc>
          <w:tcPr>
            <w:tcW w:w="240" w:type="dxa"/>
            <w:vAlign w:val="bottom"/>
            <w:tcBorders>
              <w:bottom w:val="single" w:sz="8" w:color="929292"/>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b w:val="1"/>
                <w:bCs w:val="1"/>
                <w:color w:val="auto"/>
              </w:rPr>
              <w:t>349,206</w:t>
            </w:r>
          </w:p>
        </w:tc>
        <w:tc>
          <w:tcPr>
            <w:tcW w:w="80" w:type="dxa"/>
            <w:vAlign w:val="bottom"/>
          </w:tcPr>
          <w:p>
            <w:pPr>
              <w:spacing w:after="0"/>
              <w:rPr>
                <w:sz w:val="18"/>
                <w:szCs w:val="18"/>
                <w:color w:val="auto"/>
              </w:rPr>
            </w:pPr>
          </w:p>
        </w:tc>
        <w:tc>
          <w:tcPr>
            <w:tcW w:w="30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409,762</w:t>
            </w: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929292"/>
            </w:tcBorders>
          </w:tcPr>
          <w:p>
            <w:pPr>
              <w:spacing w:after="0" w:line="20" w:lineRule="exact"/>
              <w:rPr>
                <w:sz w:val="1"/>
                <w:szCs w:val="1"/>
                <w:color w:val="auto"/>
              </w:rPr>
            </w:pPr>
          </w:p>
        </w:tc>
        <w:tc>
          <w:tcPr>
            <w:tcW w:w="104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929292"/>
            </w:tcBorders>
          </w:tcPr>
          <w:p>
            <w:pPr>
              <w:spacing w:after="0" w:line="20" w:lineRule="exact"/>
              <w:rPr>
                <w:sz w:val="1"/>
                <w:szCs w:val="1"/>
                <w:color w:val="auto"/>
              </w:rPr>
            </w:pPr>
          </w:p>
        </w:tc>
        <w:tc>
          <w:tcPr>
            <w:tcW w:w="100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929292"/>
            </w:tcBorders>
          </w:tcPr>
          <w:p>
            <w:pPr>
              <w:spacing w:after="0" w:line="20" w:lineRule="exact"/>
              <w:rPr>
                <w:sz w:val="1"/>
                <w:szCs w:val="1"/>
                <w:color w:val="auto"/>
              </w:rPr>
            </w:pPr>
          </w:p>
        </w:tc>
        <w:tc>
          <w:tcPr>
            <w:tcW w:w="104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929292"/>
            </w:tcBorders>
          </w:tcPr>
          <w:p>
            <w:pPr>
              <w:spacing w:after="0" w:line="20" w:lineRule="exact"/>
              <w:rPr>
                <w:sz w:val="1"/>
                <w:szCs w:val="1"/>
                <w:color w:val="auto"/>
              </w:rPr>
            </w:pPr>
          </w:p>
        </w:tc>
        <w:tc>
          <w:tcPr>
            <w:tcW w:w="980" w:type="dxa"/>
            <w:vAlign w:val="bottom"/>
            <w:tcBorders>
              <w:bottom w:val="single" w:sz="8" w:color="929292"/>
            </w:tcBorders>
          </w:tcPr>
          <w:p>
            <w:pPr>
              <w:spacing w:after="0" w:line="20" w:lineRule="exact"/>
              <w:rPr>
                <w:sz w:val="1"/>
                <w:szCs w:val="1"/>
                <w:color w:val="auto"/>
              </w:rPr>
            </w:pPr>
          </w:p>
        </w:tc>
      </w:tr>
    </w:tbl>
    <w:p>
      <w:pPr>
        <w:spacing w:after="0" w:line="187"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Commission revenue excludes commissions generated from the sale of individual and family plan insurance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016"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following table sets forth our balance sheets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80" w:type="dxa"/>
            <w:vAlign w:val="bottom"/>
            <w:shd w:val="clear" w:color="auto" w:fill="B6B6B6"/>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color w:val="auto"/>
              </w:rPr>
              <w:t>Sep. 30, 2025</w:t>
            </w:r>
          </w:p>
        </w:tc>
        <w:tc>
          <w:tcPr>
            <w:tcW w:w="140" w:type="dxa"/>
            <w:vAlign w:val="bottom"/>
          </w:tcPr>
          <w:p>
            <w:pPr>
              <w:spacing w:after="0"/>
              <w:rPr>
                <w:sz w:val="17"/>
                <w:szCs w:val="17"/>
                <w:color w:val="auto"/>
              </w:rPr>
            </w:pPr>
          </w:p>
        </w:tc>
        <w:tc>
          <w:tcPr>
            <w:tcW w:w="1140" w:type="dxa"/>
            <w:vAlign w:val="bottom"/>
          </w:tcPr>
          <w:p>
            <w:pPr>
              <w:jc w:val="right"/>
              <w:ind w:right="117"/>
              <w:spacing w:after="0"/>
              <w:rPr>
                <w:sz w:val="20"/>
                <w:szCs w:val="20"/>
                <w:color w:val="auto"/>
              </w:rPr>
            </w:pPr>
            <w:r>
              <w:rPr>
                <w:rFonts w:ascii="Arial" w:cs="Arial" w:eastAsia="Arial" w:hAnsi="Arial"/>
                <w:sz w:val="14"/>
                <w:szCs w:val="14"/>
                <w:color w:val="auto"/>
              </w:rPr>
              <w:t>Dec. 31, 2024</w:t>
            </w:r>
          </w:p>
        </w:tc>
        <w:tc>
          <w:tcPr>
            <w:tcW w:w="0" w:type="dxa"/>
            <w:vAlign w:val="bottom"/>
          </w:tcPr>
          <w:p>
            <w:pPr>
              <w:spacing w:after="0"/>
              <w:rPr>
                <w:sz w:val="1"/>
                <w:szCs w:val="1"/>
                <w:color w:val="auto"/>
              </w:rPr>
            </w:pPr>
          </w:p>
        </w:tc>
      </w:tr>
      <w:tr>
        <w:trPr>
          <w:trHeight w:val="165"/>
        </w:trPr>
        <w:tc>
          <w:tcPr>
            <w:tcW w:w="8480" w:type="dxa"/>
            <w:vAlign w:val="bottom"/>
            <w:tcBorders>
              <w:top w:val="single" w:sz="8" w:color="929292"/>
            </w:tcBorders>
          </w:tcPr>
          <w:p>
            <w:pPr>
              <w:ind w:left="20"/>
              <w:spacing w:after="0"/>
              <w:rPr>
                <w:sz w:val="20"/>
                <w:szCs w:val="20"/>
                <w:color w:val="auto"/>
              </w:rPr>
            </w:pPr>
            <w:r>
              <w:rPr>
                <w:rFonts w:ascii="Arial" w:cs="Arial" w:eastAsia="Arial" w:hAnsi="Arial"/>
                <w:sz w:val="13"/>
                <w:szCs w:val="13"/>
                <w:b w:val="1"/>
                <w:bCs w:val="1"/>
                <w:color w:val="auto"/>
              </w:rPr>
              <w:t>Assets</w:t>
            </w:r>
          </w:p>
        </w:tc>
        <w:tc>
          <w:tcPr>
            <w:tcW w:w="80" w:type="dxa"/>
            <w:vAlign w:val="bottom"/>
            <w:tcBorders>
              <w:top w:val="single" w:sz="8" w:color="B6B6B6"/>
            </w:tcBorders>
            <w:shd w:val="clear" w:color="auto" w:fill="B6B6B6"/>
          </w:tcPr>
          <w:p>
            <w:pPr>
              <w:spacing w:after="0"/>
              <w:rPr>
                <w:sz w:val="14"/>
                <w:szCs w:val="14"/>
                <w:color w:val="auto"/>
              </w:rPr>
            </w:pPr>
          </w:p>
        </w:tc>
        <w:tc>
          <w:tcPr>
            <w:tcW w:w="140" w:type="dxa"/>
            <w:vAlign w:val="bottom"/>
            <w:tcBorders>
              <w:top w:val="single" w:sz="8" w:color="929292"/>
            </w:tcBorders>
          </w:tcPr>
          <w:p>
            <w:pPr>
              <w:spacing w:after="0"/>
              <w:rPr>
                <w:sz w:val="14"/>
                <w:szCs w:val="14"/>
                <w:color w:val="auto"/>
              </w:rPr>
            </w:pPr>
          </w:p>
        </w:tc>
        <w:tc>
          <w:tcPr>
            <w:tcW w:w="1140" w:type="dxa"/>
            <w:vAlign w:val="bottom"/>
            <w:tcBorders>
              <w:top w:val="single" w:sz="8" w:color="929292"/>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929292"/>
            </w:tcBorders>
          </w:tcPr>
          <w:p>
            <w:pPr>
              <w:spacing w:after="0"/>
              <w:rPr>
                <w:sz w:val="14"/>
                <w:szCs w:val="14"/>
                <w:color w:val="auto"/>
              </w:rPr>
            </w:pPr>
          </w:p>
        </w:tc>
        <w:tc>
          <w:tcPr>
            <w:tcW w:w="1140" w:type="dxa"/>
            <w:vAlign w:val="bottom"/>
            <w:tcBorders>
              <w:top w:val="single" w:sz="8" w:color="929292"/>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480" w:type="dxa"/>
            <w:vAlign w:val="bottom"/>
          </w:tcPr>
          <w:p>
            <w:pPr>
              <w:ind w:left="20"/>
              <w:spacing w:after="0"/>
              <w:rPr>
                <w:sz w:val="20"/>
                <w:szCs w:val="20"/>
                <w:color w:val="auto"/>
              </w:rPr>
            </w:pPr>
            <w:r>
              <w:rPr>
                <w:rFonts w:ascii="Arial" w:cs="Arial" w:eastAsia="Arial" w:hAnsi="Arial"/>
                <w:sz w:val="13"/>
                <w:szCs w:val="13"/>
                <w:i w:val="1"/>
                <w:iCs w:val="1"/>
                <w:color w:val="auto"/>
              </w:rPr>
              <w:t>Current assets:</w:t>
            </w:r>
          </w:p>
        </w:tc>
        <w:tc>
          <w:tcPr>
            <w:tcW w:w="80" w:type="dxa"/>
            <w:vAlign w:val="bottom"/>
            <w:shd w:val="clear" w:color="auto" w:fill="B6B6B6"/>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240"/>
              <w:spacing w:after="0"/>
              <w:rPr>
                <w:sz w:val="20"/>
                <w:szCs w:val="20"/>
                <w:color w:val="auto"/>
              </w:rPr>
            </w:pPr>
            <w:r>
              <w:rPr>
                <w:rFonts w:ascii="Arial" w:cs="Arial" w:eastAsia="Arial" w:hAnsi="Arial"/>
                <w:sz w:val="13"/>
                <w:szCs w:val="13"/>
                <w:color w:val="auto"/>
              </w:rPr>
              <w:t>Cash and cash equivalents</w:t>
            </w:r>
          </w:p>
        </w:tc>
        <w:tc>
          <w:tcPr>
            <w:tcW w:w="80" w:type="dxa"/>
            <w:vAlign w:val="bottom"/>
            <w:shd w:val="clear" w:color="auto" w:fill="B6B6B6"/>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32,076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40,921</w:t>
            </w:r>
          </w:p>
        </w:tc>
        <w:tc>
          <w:tcPr>
            <w:tcW w:w="0" w:type="dxa"/>
            <w:vAlign w:val="bottom"/>
          </w:tcPr>
          <w:p>
            <w:pPr>
              <w:spacing w:after="0"/>
              <w:rPr>
                <w:sz w:val="1"/>
                <w:szCs w:val="1"/>
                <w:color w:val="auto"/>
              </w:rPr>
            </w:pPr>
          </w:p>
        </w:tc>
      </w:tr>
      <w:tr>
        <w:trPr>
          <w:trHeight w:val="175"/>
        </w:trPr>
        <w:tc>
          <w:tcPr>
            <w:tcW w:w="8480" w:type="dxa"/>
            <w:vAlign w:val="bottom"/>
          </w:tcPr>
          <w:p>
            <w:pPr>
              <w:ind w:left="240"/>
              <w:spacing w:after="0"/>
              <w:rPr>
                <w:sz w:val="20"/>
                <w:szCs w:val="20"/>
                <w:color w:val="auto"/>
              </w:rPr>
            </w:pPr>
            <w:r>
              <w:rPr>
                <w:rFonts w:ascii="Arial" w:cs="Arial" w:eastAsia="Arial" w:hAnsi="Arial"/>
                <w:sz w:val="13"/>
                <w:szCs w:val="13"/>
                <w:color w:val="auto"/>
              </w:rPr>
              <w:t>Accounts receivable, net</w:t>
            </w:r>
          </w:p>
        </w:tc>
        <w:tc>
          <w:tcPr>
            <w:tcW w:w="80" w:type="dxa"/>
            <w:vAlign w:val="bottom"/>
            <w:shd w:val="clear" w:color="auto" w:fill="B6B6B6"/>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4,452</w:t>
            </w:r>
          </w:p>
        </w:tc>
        <w:tc>
          <w:tcPr>
            <w:tcW w:w="0" w:type="dxa"/>
            <w:vAlign w:val="bottom"/>
          </w:tcPr>
          <w:p>
            <w:pPr>
              <w:spacing w:after="0"/>
              <w:rPr>
                <w:sz w:val="1"/>
                <w:szCs w:val="1"/>
                <w:color w:val="auto"/>
              </w:rPr>
            </w:pPr>
          </w:p>
        </w:tc>
      </w:tr>
      <w:tr>
        <w:trPr>
          <w:trHeight w:val="176"/>
        </w:trPr>
        <w:tc>
          <w:tcPr>
            <w:tcW w:w="8480" w:type="dxa"/>
            <w:vAlign w:val="bottom"/>
          </w:tcPr>
          <w:p>
            <w:pPr>
              <w:ind w:left="240"/>
              <w:spacing w:after="0"/>
              <w:rPr>
                <w:sz w:val="20"/>
                <w:szCs w:val="20"/>
                <w:color w:val="auto"/>
              </w:rPr>
            </w:pPr>
            <w:r>
              <w:rPr>
                <w:rFonts w:ascii="Arial" w:cs="Arial" w:eastAsia="Arial" w:hAnsi="Arial"/>
                <w:sz w:val="13"/>
                <w:szCs w:val="13"/>
                <w:color w:val="auto"/>
              </w:rPr>
              <w:t>Commissions receivable - current</w:t>
            </w:r>
          </w:p>
        </w:tc>
        <w:tc>
          <w:tcPr>
            <w:tcW w:w="80" w:type="dxa"/>
            <w:vAlign w:val="bottom"/>
            <w:shd w:val="clear" w:color="auto" w:fill="B6B6B6"/>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238,947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320,399</w:t>
            </w:r>
          </w:p>
        </w:tc>
        <w:tc>
          <w:tcPr>
            <w:tcW w:w="0" w:type="dxa"/>
            <w:vAlign w:val="bottom"/>
          </w:tcPr>
          <w:p>
            <w:pPr>
              <w:spacing w:after="0"/>
              <w:rPr>
                <w:sz w:val="1"/>
                <w:szCs w:val="1"/>
                <w:color w:val="auto"/>
              </w:rPr>
            </w:pPr>
          </w:p>
        </w:tc>
      </w:tr>
      <w:tr>
        <w:trPr>
          <w:trHeight w:val="183"/>
        </w:trPr>
        <w:tc>
          <w:tcPr>
            <w:tcW w:w="8480" w:type="dxa"/>
            <w:vAlign w:val="bottom"/>
          </w:tcPr>
          <w:p>
            <w:pPr>
              <w:ind w:left="240"/>
              <w:spacing w:after="0"/>
              <w:rPr>
                <w:sz w:val="20"/>
                <w:szCs w:val="20"/>
                <w:color w:val="auto"/>
              </w:rPr>
            </w:pPr>
            <w:r>
              <w:rPr>
                <w:rFonts w:ascii="Arial" w:cs="Arial" w:eastAsia="Arial" w:hAnsi="Arial"/>
                <w:sz w:val="13"/>
                <w:szCs w:val="13"/>
                <w:color w:val="auto"/>
              </w:rPr>
              <w:t>Prepaid expense and other current assets</w:t>
            </w:r>
          </w:p>
        </w:tc>
        <w:tc>
          <w:tcPr>
            <w:tcW w:w="80" w:type="dxa"/>
            <w:vAlign w:val="bottom"/>
            <w:tcBorders>
              <w:bottom w:val="single" w:sz="8" w:color="B6B6B6"/>
            </w:tcBorders>
            <w:shd w:val="clear" w:color="auto" w:fill="B6B6B6"/>
          </w:tcPr>
          <w:p>
            <w:pPr>
              <w:spacing w:after="0"/>
              <w:rPr>
                <w:sz w:val="15"/>
                <w:szCs w:val="15"/>
                <w:color w:val="auto"/>
              </w:rPr>
            </w:pPr>
          </w:p>
        </w:tc>
        <w:tc>
          <w:tcPr>
            <w:tcW w:w="14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16,437</w:t>
            </w:r>
          </w:p>
        </w:tc>
        <w:tc>
          <w:tcPr>
            <w:tcW w:w="100" w:type="dxa"/>
            <w:vAlign w:val="bottom"/>
          </w:tcPr>
          <w:p>
            <w:pPr>
              <w:spacing w:after="0"/>
              <w:rPr>
                <w:sz w:val="15"/>
                <w:szCs w:val="15"/>
                <w:color w:val="auto"/>
              </w:rPr>
            </w:pPr>
          </w:p>
        </w:tc>
        <w:tc>
          <w:tcPr>
            <w:tcW w:w="14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34,639</w:t>
            </w:r>
          </w:p>
        </w:tc>
        <w:tc>
          <w:tcPr>
            <w:tcW w:w="0" w:type="dxa"/>
            <w:vAlign w:val="bottom"/>
          </w:tcPr>
          <w:p>
            <w:pPr>
              <w:spacing w:after="0"/>
              <w:rPr>
                <w:sz w:val="1"/>
                <w:szCs w:val="1"/>
                <w:color w:val="auto"/>
              </w:rPr>
            </w:pPr>
          </w:p>
        </w:tc>
      </w:tr>
      <w:tr>
        <w:trPr>
          <w:trHeight w:val="169"/>
        </w:trPr>
        <w:tc>
          <w:tcPr>
            <w:tcW w:w="8480" w:type="dxa"/>
            <w:vAlign w:val="bottom"/>
          </w:tcPr>
          <w:p>
            <w:pPr>
              <w:ind w:left="20"/>
              <w:spacing w:after="0" w:line="148" w:lineRule="exact"/>
              <w:rPr>
                <w:sz w:val="20"/>
                <w:szCs w:val="20"/>
                <w:color w:val="auto"/>
              </w:rPr>
            </w:pPr>
            <w:r>
              <w:rPr>
                <w:rFonts w:ascii="Arial" w:cs="Arial" w:eastAsia="Arial" w:hAnsi="Arial"/>
                <w:sz w:val="13"/>
                <w:szCs w:val="13"/>
                <w:color w:val="auto"/>
              </w:rPr>
              <w:t>Total current assets</w:t>
            </w:r>
          </w:p>
        </w:tc>
        <w:tc>
          <w:tcPr>
            <w:tcW w:w="80" w:type="dxa"/>
            <w:vAlign w:val="bottom"/>
            <w:tcBorders>
              <w:bottom w:val="single" w:sz="8" w:color="B6B6B6"/>
            </w:tcBorders>
            <w:shd w:val="clear" w:color="auto" w:fill="B6B6B6"/>
          </w:tcPr>
          <w:p>
            <w:pPr>
              <w:spacing w:after="0"/>
              <w:rPr>
                <w:sz w:val="14"/>
                <w:szCs w:val="14"/>
                <w:color w:val="auto"/>
              </w:rPr>
            </w:pPr>
          </w:p>
        </w:tc>
        <w:tc>
          <w:tcPr>
            <w:tcW w:w="14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287,462</w:t>
            </w:r>
          </w:p>
        </w:tc>
        <w:tc>
          <w:tcPr>
            <w:tcW w:w="100" w:type="dxa"/>
            <w:vAlign w:val="bottom"/>
          </w:tcPr>
          <w:p>
            <w:pPr>
              <w:spacing w:after="0"/>
              <w:rPr>
                <w:sz w:val="14"/>
                <w:szCs w:val="14"/>
                <w:color w:val="auto"/>
              </w:rPr>
            </w:pPr>
          </w:p>
        </w:tc>
        <w:tc>
          <w:tcPr>
            <w:tcW w:w="14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400,411</w:t>
            </w:r>
          </w:p>
        </w:tc>
        <w:tc>
          <w:tcPr>
            <w:tcW w:w="0" w:type="dxa"/>
            <w:vAlign w:val="bottom"/>
          </w:tcPr>
          <w:p>
            <w:pPr>
              <w:spacing w:after="0"/>
              <w:rPr>
                <w:sz w:val="1"/>
                <w:szCs w:val="1"/>
                <w:color w:val="auto"/>
              </w:rPr>
            </w:pPr>
          </w:p>
        </w:tc>
      </w:tr>
      <w:tr>
        <w:trPr>
          <w:trHeight w:val="166"/>
        </w:trPr>
        <w:tc>
          <w:tcPr>
            <w:tcW w:w="8480" w:type="dxa"/>
            <w:vAlign w:val="bottom"/>
          </w:tcPr>
          <w:p>
            <w:pPr>
              <w:ind w:left="20"/>
              <w:spacing w:after="0" w:line="148" w:lineRule="exact"/>
              <w:rPr>
                <w:sz w:val="20"/>
                <w:szCs w:val="20"/>
                <w:color w:val="auto"/>
              </w:rPr>
            </w:pPr>
            <w:r>
              <w:rPr>
                <w:rFonts w:ascii="Arial" w:cs="Arial" w:eastAsia="Arial" w:hAnsi="Arial"/>
                <w:sz w:val="13"/>
                <w:szCs w:val="13"/>
                <w:color w:val="auto"/>
              </w:rPr>
              <w:t>Commissions receivable - non-current</w:t>
            </w:r>
          </w:p>
        </w:tc>
        <w:tc>
          <w:tcPr>
            <w:tcW w:w="80" w:type="dxa"/>
            <w:vAlign w:val="bottom"/>
            <w:shd w:val="clear" w:color="auto" w:fill="B6B6B6"/>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725,074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733,161</w:t>
            </w:r>
          </w:p>
        </w:tc>
        <w:tc>
          <w:tcPr>
            <w:tcW w:w="0" w:type="dxa"/>
            <w:vAlign w:val="bottom"/>
          </w:tcPr>
          <w:p>
            <w:pPr>
              <w:spacing w:after="0"/>
              <w:rPr>
                <w:sz w:val="1"/>
                <w:szCs w:val="1"/>
                <w:color w:val="auto"/>
              </w:rPr>
            </w:pPr>
          </w:p>
        </w:tc>
      </w:tr>
      <w:tr>
        <w:trPr>
          <w:trHeight w:val="171"/>
        </w:trPr>
        <w:tc>
          <w:tcPr>
            <w:tcW w:w="8480" w:type="dxa"/>
            <w:vAlign w:val="bottom"/>
          </w:tcPr>
          <w:p>
            <w:pPr>
              <w:ind w:left="20"/>
              <w:spacing w:after="0"/>
              <w:rPr>
                <w:sz w:val="20"/>
                <w:szCs w:val="20"/>
                <w:color w:val="auto"/>
              </w:rPr>
            </w:pPr>
            <w:r>
              <w:rPr>
                <w:rFonts w:ascii="Arial" w:cs="Arial" w:eastAsia="Arial" w:hAnsi="Arial"/>
                <w:sz w:val="13"/>
                <w:szCs w:val="13"/>
                <w:color w:val="auto"/>
              </w:rPr>
              <w:t>Operating lease ROU asset</w:t>
            </w:r>
          </w:p>
        </w:tc>
        <w:tc>
          <w:tcPr>
            <w:tcW w:w="80" w:type="dxa"/>
            <w:vAlign w:val="bottom"/>
            <w:shd w:val="clear" w:color="auto" w:fill="B6B6B6"/>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10,138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19,317</w:t>
            </w:r>
          </w:p>
        </w:tc>
        <w:tc>
          <w:tcPr>
            <w:tcW w:w="0" w:type="dxa"/>
            <w:vAlign w:val="bottom"/>
          </w:tcPr>
          <w:p>
            <w:pPr>
              <w:spacing w:after="0"/>
              <w:rPr>
                <w:sz w:val="1"/>
                <w:szCs w:val="1"/>
                <w:color w:val="auto"/>
              </w:rPr>
            </w:pPr>
          </w:p>
        </w:tc>
      </w:tr>
      <w:tr>
        <w:trPr>
          <w:trHeight w:val="175"/>
        </w:trPr>
        <w:tc>
          <w:tcPr>
            <w:tcW w:w="8480" w:type="dxa"/>
            <w:vAlign w:val="bottom"/>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80" w:type="dxa"/>
            <w:vAlign w:val="bottom"/>
            <w:shd w:val="clear" w:color="auto" w:fill="B6B6B6"/>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5,558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29,320</w:t>
            </w:r>
          </w:p>
        </w:tc>
        <w:tc>
          <w:tcPr>
            <w:tcW w:w="0" w:type="dxa"/>
            <w:vAlign w:val="bottom"/>
          </w:tcPr>
          <w:p>
            <w:pPr>
              <w:spacing w:after="0"/>
              <w:rPr>
                <w:sz w:val="1"/>
                <w:szCs w:val="1"/>
                <w:color w:val="auto"/>
              </w:rPr>
            </w:pPr>
          </w:p>
        </w:tc>
      </w:tr>
      <w:tr>
        <w:trPr>
          <w:trHeight w:val="176"/>
        </w:trPr>
        <w:tc>
          <w:tcPr>
            <w:tcW w:w="8480" w:type="dxa"/>
            <w:vAlign w:val="bottom"/>
          </w:tcPr>
          <w:p>
            <w:pPr>
              <w:ind w:left="20"/>
              <w:spacing w:after="0"/>
              <w:rPr>
                <w:sz w:val="20"/>
                <w:szCs w:val="20"/>
                <w:color w:val="auto"/>
              </w:rPr>
            </w:pPr>
            <w:r>
              <w:rPr>
                <w:rFonts w:ascii="Arial" w:cs="Arial" w:eastAsia="Arial" w:hAnsi="Arial"/>
                <w:sz w:val="13"/>
                <w:szCs w:val="13"/>
                <w:color w:val="auto"/>
              </w:rPr>
              <w:t>Intangible assets, net</w:t>
            </w:r>
          </w:p>
        </w:tc>
        <w:tc>
          <w:tcPr>
            <w:tcW w:w="80" w:type="dxa"/>
            <w:vAlign w:val="bottom"/>
            <w:shd w:val="clear" w:color="auto" w:fill="B6B6B6"/>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302,497</w:t>
            </w:r>
          </w:p>
        </w:tc>
        <w:tc>
          <w:tcPr>
            <w:tcW w:w="0" w:type="dxa"/>
            <w:vAlign w:val="bottom"/>
          </w:tcPr>
          <w:p>
            <w:pPr>
              <w:spacing w:after="0"/>
              <w:rPr>
                <w:sz w:val="1"/>
                <w:szCs w:val="1"/>
                <w:color w:val="auto"/>
              </w:rPr>
            </w:pPr>
          </w:p>
        </w:tc>
      </w:tr>
      <w:tr>
        <w:trPr>
          <w:trHeight w:val="183"/>
        </w:trPr>
        <w:tc>
          <w:tcPr>
            <w:tcW w:w="8480" w:type="dxa"/>
            <w:vAlign w:val="bottom"/>
          </w:tcPr>
          <w:p>
            <w:pPr>
              <w:ind w:left="20"/>
              <w:spacing w:after="0"/>
              <w:rPr>
                <w:sz w:val="20"/>
                <w:szCs w:val="20"/>
                <w:color w:val="auto"/>
              </w:rPr>
            </w:pPr>
            <w:r>
              <w:rPr>
                <w:rFonts w:ascii="Arial" w:cs="Arial" w:eastAsia="Arial" w:hAnsi="Arial"/>
                <w:sz w:val="13"/>
                <w:szCs w:val="13"/>
                <w:color w:val="auto"/>
              </w:rPr>
              <w:t>Other long-term assets</w:t>
            </w:r>
          </w:p>
        </w:tc>
        <w:tc>
          <w:tcPr>
            <w:tcW w:w="80" w:type="dxa"/>
            <w:vAlign w:val="bottom"/>
            <w:tcBorders>
              <w:bottom w:val="single" w:sz="8" w:color="B6B6B6"/>
            </w:tcBorders>
            <w:shd w:val="clear" w:color="auto" w:fill="B6B6B6"/>
          </w:tcPr>
          <w:p>
            <w:pPr>
              <w:spacing w:after="0"/>
              <w:rPr>
                <w:sz w:val="15"/>
                <w:szCs w:val="15"/>
                <w:color w:val="auto"/>
              </w:rPr>
            </w:pPr>
          </w:p>
        </w:tc>
        <w:tc>
          <w:tcPr>
            <w:tcW w:w="14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2,254</w:t>
            </w:r>
          </w:p>
        </w:tc>
        <w:tc>
          <w:tcPr>
            <w:tcW w:w="100" w:type="dxa"/>
            <w:vAlign w:val="bottom"/>
          </w:tcPr>
          <w:p>
            <w:pPr>
              <w:spacing w:after="0"/>
              <w:rPr>
                <w:sz w:val="15"/>
                <w:szCs w:val="15"/>
                <w:color w:val="auto"/>
              </w:rPr>
            </w:pPr>
          </w:p>
        </w:tc>
        <w:tc>
          <w:tcPr>
            <w:tcW w:w="14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3,717</w:t>
            </w:r>
          </w:p>
        </w:tc>
        <w:tc>
          <w:tcPr>
            <w:tcW w:w="0" w:type="dxa"/>
            <w:vAlign w:val="bottom"/>
          </w:tcPr>
          <w:p>
            <w:pPr>
              <w:spacing w:after="0"/>
              <w:rPr>
                <w:sz w:val="1"/>
                <w:szCs w:val="1"/>
                <w:color w:val="auto"/>
              </w:rPr>
            </w:pPr>
          </w:p>
        </w:tc>
      </w:tr>
      <w:tr>
        <w:trPr>
          <w:trHeight w:val="172"/>
        </w:trPr>
        <w:tc>
          <w:tcPr>
            <w:tcW w:w="848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80" w:type="dxa"/>
            <w:vAlign w:val="bottom"/>
            <w:tcBorders>
              <w:bottom w:val="single" w:sz="8" w:color="B6B6B6"/>
            </w:tcBorders>
            <w:shd w:val="clear" w:color="auto" w:fill="B6B6B6"/>
          </w:tcPr>
          <w:p>
            <w:pPr>
              <w:spacing w:after="0"/>
              <w:rPr>
                <w:sz w:val="14"/>
                <w:szCs w:val="14"/>
                <w:color w:val="auto"/>
              </w:rPr>
            </w:pPr>
          </w:p>
        </w:tc>
        <w:tc>
          <w:tcPr>
            <w:tcW w:w="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b w:val="1"/>
                <w:bCs w:val="1"/>
                <w:color w:val="auto"/>
              </w:rPr>
              <w:t>1,030,486</w:t>
            </w:r>
          </w:p>
        </w:tc>
        <w:tc>
          <w:tcPr>
            <w:tcW w:w="100" w:type="dxa"/>
            <w:vAlign w:val="bottom"/>
          </w:tcPr>
          <w:p>
            <w:pPr>
              <w:spacing w:after="0"/>
              <w:rPr>
                <w:sz w:val="14"/>
                <w:szCs w:val="14"/>
                <w:color w:val="auto"/>
              </w:rPr>
            </w:pPr>
          </w:p>
        </w:tc>
        <w:tc>
          <w:tcPr>
            <w:tcW w:w="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b w:val="1"/>
                <w:bCs w:val="1"/>
                <w:color w:val="auto"/>
              </w:rPr>
              <w:t>1,488,423</w:t>
            </w:r>
          </w:p>
        </w:tc>
        <w:tc>
          <w:tcPr>
            <w:tcW w:w="0" w:type="dxa"/>
            <w:vAlign w:val="bottom"/>
          </w:tcPr>
          <w:p>
            <w:pPr>
              <w:spacing w:after="0"/>
              <w:rPr>
                <w:sz w:val="1"/>
                <w:szCs w:val="1"/>
                <w:color w:val="auto"/>
              </w:rPr>
            </w:pPr>
          </w:p>
        </w:tc>
      </w:tr>
      <w:tr>
        <w:trPr>
          <w:trHeight w:val="24"/>
        </w:trPr>
        <w:tc>
          <w:tcPr>
            <w:tcW w:w="8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Liabilities, Redeemable Convertible Preferred Stock and Stockholders’ Equity (Deficit)</w:t>
            </w:r>
          </w:p>
        </w:tc>
        <w:tc>
          <w:tcPr>
            <w:tcW w:w="80" w:type="dxa"/>
            <w:vAlign w:val="bottom"/>
            <w:tcBorders>
              <w:bottom w:val="single" w:sz="8" w:color="B6B6B6"/>
            </w:tcBorders>
            <w:shd w:val="clear" w:color="auto" w:fill="B6B6B6"/>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1140" w:type="dxa"/>
            <w:vAlign w:val="bottom"/>
            <w:tcBorders>
              <w:bottom w:val="single" w:sz="8" w:color="929292"/>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114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8480" w:type="dxa"/>
            <w:vAlign w:val="bottom"/>
            <w:vMerge w:val="continue"/>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8480" w:type="dxa"/>
            <w:vAlign w:val="bottom"/>
          </w:tcPr>
          <w:p>
            <w:pPr>
              <w:ind w:left="20"/>
              <w:spacing w:after="0"/>
              <w:rPr>
                <w:sz w:val="20"/>
                <w:szCs w:val="20"/>
                <w:color w:val="auto"/>
              </w:rPr>
            </w:pPr>
            <w:r>
              <w:rPr>
                <w:rFonts w:ascii="Arial" w:cs="Arial" w:eastAsia="Arial" w:hAnsi="Arial"/>
                <w:sz w:val="13"/>
                <w:szCs w:val="13"/>
                <w:i w:val="1"/>
                <w:iCs w:val="1"/>
                <w:color w:val="auto"/>
              </w:rPr>
              <w:t>Current liabilities:</w:t>
            </w:r>
          </w:p>
        </w:tc>
        <w:tc>
          <w:tcPr>
            <w:tcW w:w="80" w:type="dxa"/>
            <w:vAlign w:val="bottom"/>
            <w:shd w:val="clear" w:color="auto" w:fill="B6B6B6"/>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8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80" w:type="dxa"/>
            <w:vAlign w:val="bottom"/>
            <w:shd w:val="clear" w:color="auto" w:fill="B6B6B6"/>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11,853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14,591</w:t>
            </w:r>
          </w:p>
        </w:tc>
        <w:tc>
          <w:tcPr>
            <w:tcW w:w="0" w:type="dxa"/>
            <w:vAlign w:val="bottom"/>
          </w:tcPr>
          <w:p>
            <w:pPr>
              <w:spacing w:after="0"/>
              <w:rPr>
                <w:sz w:val="1"/>
                <w:szCs w:val="1"/>
                <w:color w:val="auto"/>
              </w:rPr>
            </w:pPr>
          </w:p>
        </w:tc>
      </w:tr>
      <w:tr>
        <w:trPr>
          <w:trHeight w:val="176"/>
        </w:trPr>
        <w:tc>
          <w:tcPr>
            <w:tcW w:w="8480" w:type="dxa"/>
            <w:vAlign w:val="bottom"/>
          </w:tcPr>
          <w:p>
            <w:pPr>
              <w:ind w:left="240"/>
              <w:spacing w:after="0"/>
              <w:rPr>
                <w:sz w:val="20"/>
                <w:szCs w:val="20"/>
                <w:color w:val="auto"/>
              </w:rPr>
            </w:pPr>
            <w:r>
              <w:rPr>
                <w:rFonts w:ascii="Arial" w:cs="Arial" w:eastAsia="Arial" w:hAnsi="Arial"/>
                <w:sz w:val="13"/>
                <w:szCs w:val="13"/>
                <w:color w:val="auto"/>
              </w:rPr>
              <w:t>Accrued liabilities</w:t>
            </w:r>
          </w:p>
        </w:tc>
        <w:tc>
          <w:tcPr>
            <w:tcW w:w="80" w:type="dxa"/>
            <w:vAlign w:val="bottom"/>
            <w:shd w:val="clear" w:color="auto" w:fill="B6B6B6"/>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60,913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121,346</w:t>
            </w:r>
          </w:p>
        </w:tc>
        <w:tc>
          <w:tcPr>
            <w:tcW w:w="0" w:type="dxa"/>
            <w:vAlign w:val="bottom"/>
          </w:tcPr>
          <w:p>
            <w:pPr>
              <w:spacing w:after="0"/>
              <w:rPr>
                <w:sz w:val="1"/>
                <w:szCs w:val="1"/>
                <w:color w:val="auto"/>
              </w:rPr>
            </w:pPr>
          </w:p>
        </w:tc>
      </w:tr>
      <w:tr>
        <w:trPr>
          <w:trHeight w:val="175"/>
        </w:trPr>
        <w:tc>
          <w:tcPr>
            <w:tcW w:w="8480" w:type="dxa"/>
            <w:vAlign w:val="bottom"/>
          </w:tcPr>
          <w:p>
            <w:pPr>
              <w:ind w:left="240"/>
              <w:spacing w:after="0"/>
              <w:rPr>
                <w:sz w:val="20"/>
                <w:szCs w:val="20"/>
                <w:color w:val="auto"/>
              </w:rPr>
            </w:pPr>
            <w:r>
              <w:rPr>
                <w:rFonts w:ascii="Arial" w:cs="Arial" w:eastAsia="Arial" w:hAnsi="Arial"/>
                <w:sz w:val="13"/>
                <w:szCs w:val="13"/>
                <w:color w:val="auto"/>
              </w:rPr>
              <w:t>Commissions payable - current</w:t>
            </w:r>
          </w:p>
        </w:tc>
        <w:tc>
          <w:tcPr>
            <w:tcW w:w="80" w:type="dxa"/>
            <w:vAlign w:val="bottom"/>
            <w:shd w:val="clear" w:color="auto" w:fill="B6B6B6"/>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65,088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98,771</w:t>
            </w:r>
          </w:p>
        </w:tc>
        <w:tc>
          <w:tcPr>
            <w:tcW w:w="0" w:type="dxa"/>
            <w:vAlign w:val="bottom"/>
          </w:tcPr>
          <w:p>
            <w:pPr>
              <w:spacing w:after="0"/>
              <w:rPr>
                <w:sz w:val="1"/>
                <w:szCs w:val="1"/>
                <w:color w:val="auto"/>
              </w:rPr>
            </w:pPr>
          </w:p>
        </w:tc>
      </w:tr>
      <w:tr>
        <w:trPr>
          <w:trHeight w:val="176"/>
        </w:trPr>
        <w:tc>
          <w:tcPr>
            <w:tcW w:w="8480" w:type="dxa"/>
            <w:vAlign w:val="bottom"/>
          </w:tcPr>
          <w:p>
            <w:pPr>
              <w:ind w:left="240"/>
              <w:spacing w:after="0"/>
              <w:rPr>
                <w:sz w:val="20"/>
                <w:szCs w:val="20"/>
                <w:color w:val="auto"/>
              </w:rPr>
            </w:pPr>
            <w:r>
              <w:rPr>
                <w:rFonts w:ascii="Arial" w:cs="Arial" w:eastAsia="Arial" w:hAnsi="Arial"/>
                <w:sz w:val="13"/>
                <w:szCs w:val="13"/>
                <w:color w:val="auto"/>
              </w:rPr>
              <w:t>Short-term operating lease liability</w:t>
            </w:r>
          </w:p>
        </w:tc>
        <w:tc>
          <w:tcPr>
            <w:tcW w:w="80" w:type="dxa"/>
            <w:vAlign w:val="bottom"/>
            <w:shd w:val="clear" w:color="auto" w:fill="B6B6B6"/>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4,916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5,705</w:t>
            </w:r>
          </w:p>
        </w:tc>
        <w:tc>
          <w:tcPr>
            <w:tcW w:w="0" w:type="dxa"/>
            <w:vAlign w:val="bottom"/>
          </w:tcPr>
          <w:p>
            <w:pPr>
              <w:spacing w:after="0"/>
              <w:rPr>
                <w:sz w:val="1"/>
                <w:szCs w:val="1"/>
                <w:color w:val="auto"/>
              </w:rPr>
            </w:pPr>
          </w:p>
        </w:tc>
      </w:tr>
      <w:tr>
        <w:trPr>
          <w:trHeight w:val="176"/>
        </w:trPr>
        <w:tc>
          <w:tcPr>
            <w:tcW w:w="8480" w:type="dxa"/>
            <w:vAlign w:val="bottom"/>
          </w:tcPr>
          <w:p>
            <w:pPr>
              <w:ind w:left="240"/>
              <w:spacing w:after="0"/>
              <w:rPr>
                <w:sz w:val="20"/>
                <w:szCs w:val="20"/>
                <w:color w:val="auto"/>
              </w:rPr>
            </w:pPr>
            <w:r>
              <w:rPr>
                <w:rFonts w:ascii="Arial" w:cs="Arial" w:eastAsia="Arial" w:hAnsi="Arial"/>
                <w:sz w:val="13"/>
                <w:szCs w:val="13"/>
                <w:color w:val="auto"/>
              </w:rPr>
              <w:t>Deferred revenue</w:t>
            </w:r>
          </w:p>
        </w:tc>
        <w:tc>
          <w:tcPr>
            <w:tcW w:w="80" w:type="dxa"/>
            <w:vAlign w:val="bottom"/>
            <w:shd w:val="clear" w:color="auto" w:fill="B6B6B6"/>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29,195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53,720</w:t>
            </w:r>
          </w:p>
        </w:tc>
        <w:tc>
          <w:tcPr>
            <w:tcW w:w="0" w:type="dxa"/>
            <w:vAlign w:val="bottom"/>
          </w:tcPr>
          <w:p>
            <w:pPr>
              <w:spacing w:after="0"/>
              <w:rPr>
                <w:sz w:val="1"/>
                <w:szCs w:val="1"/>
                <w:color w:val="auto"/>
              </w:rPr>
            </w:pPr>
          </w:p>
        </w:tc>
      </w:tr>
      <w:tr>
        <w:trPr>
          <w:trHeight w:val="175"/>
        </w:trPr>
        <w:tc>
          <w:tcPr>
            <w:tcW w:w="8480" w:type="dxa"/>
            <w:vAlign w:val="bottom"/>
          </w:tcPr>
          <w:p>
            <w:pPr>
              <w:ind w:left="240"/>
              <w:spacing w:after="0"/>
              <w:rPr>
                <w:sz w:val="20"/>
                <w:szCs w:val="20"/>
                <w:color w:val="auto"/>
              </w:rPr>
            </w:pPr>
            <w:r>
              <w:rPr>
                <w:rFonts w:ascii="Arial" w:cs="Arial" w:eastAsia="Arial" w:hAnsi="Arial"/>
                <w:sz w:val="13"/>
                <w:szCs w:val="13"/>
                <w:color w:val="auto"/>
              </w:rPr>
              <w:t>Current portion of long-term debt</w:t>
            </w:r>
          </w:p>
        </w:tc>
        <w:tc>
          <w:tcPr>
            <w:tcW w:w="80" w:type="dxa"/>
            <w:vAlign w:val="bottom"/>
            <w:shd w:val="clear" w:color="auto" w:fill="B6B6B6"/>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39,500</w:t>
            </w:r>
          </w:p>
        </w:tc>
        <w:tc>
          <w:tcPr>
            <w:tcW w:w="0" w:type="dxa"/>
            <w:vAlign w:val="bottom"/>
          </w:tcPr>
          <w:p>
            <w:pPr>
              <w:spacing w:after="0"/>
              <w:rPr>
                <w:sz w:val="1"/>
                <w:szCs w:val="1"/>
                <w:color w:val="auto"/>
              </w:rPr>
            </w:pPr>
          </w:p>
        </w:tc>
      </w:tr>
      <w:tr>
        <w:trPr>
          <w:trHeight w:val="183"/>
        </w:trPr>
        <w:tc>
          <w:tcPr>
            <w:tcW w:w="8480" w:type="dxa"/>
            <w:vAlign w:val="bottom"/>
          </w:tcPr>
          <w:p>
            <w:pPr>
              <w:ind w:left="240"/>
              <w:spacing w:after="0"/>
              <w:rPr>
                <w:sz w:val="20"/>
                <w:szCs w:val="20"/>
                <w:color w:val="auto"/>
              </w:rPr>
            </w:pPr>
            <w:r>
              <w:rPr>
                <w:rFonts w:ascii="Arial" w:cs="Arial" w:eastAsia="Arial" w:hAnsi="Arial"/>
                <w:sz w:val="13"/>
                <w:szCs w:val="13"/>
                <w:color w:val="auto"/>
              </w:rPr>
              <w:t>Other current liabilities</w:t>
            </w:r>
          </w:p>
        </w:tc>
        <w:tc>
          <w:tcPr>
            <w:tcW w:w="80" w:type="dxa"/>
            <w:vAlign w:val="bottom"/>
            <w:tcBorders>
              <w:bottom w:val="single" w:sz="8" w:color="B6B6B6"/>
            </w:tcBorders>
            <w:shd w:val="clear" w:color="auto" w:fill="B6B6B6"/>
          </w:tcPr>
          <w:p>
            <w:pPr>
              <w:spacing w:after="0"/>
              <w:rPr>
                <w:sz w:val="15"/>
                <w:szCs w:val="15"/>
                <w:color w:val="auto"/>
              </w:rPr>
            </w:pPr>
          </w:p>
        </w:tc>
        <w:tc>
          <w:tcPr>
            <w:tcW w:w="14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3,717</w:t>
            </w:r>
          </w:p>
        </w:tc>
        <w:tc>
          <w:tcPr>
            <w:tcW w:w="100" w:type="dxa"/>
            <w:vAlign w:val="bottom"/>
          </w:tcPr>
          <w:p>
            <w:pPr>
              <w:spacing w:after="0"/>
              <w:rPr>
                <w:sz w:val="15"/>
                <w:szCs w:val="15"/>
                <w:color w:val="auto"/>
              </w:rPr>
            </w:pPr>
          </w:p>
        </w:tc>
        <w:tc>
          <w:tcPr>
            <w:tcW w:w="14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4,419</w:t>
            </w:r>
          </w:p>
        </w:tc>
        <w:tc>
          <w:tcPr>
            <w:tcW w:w="0" w:type="dxa"/>
            <w:vAlign w:val="bottom"/>
          </w:tcPr>
          <w:p>
            <w:pPr>
              <w:spacing w:after="0"/>
              <w:rPr>
                <w:sz w:val="1"/>
                <w:szCs w:val="1"/>
                <w:color w:val="auto"/>
              </w:rPr>
            </w:pPr>
          </w:p>
        </w:tc>
      </w:tr>
      <w:tr>
        <w:trPr>
          <w:trHeight w:val="169"/>
        </w:trPr>
        <w:tc>
          <w:tcPr>
            <w:tcW w:w="8480" w:type="dxa"/>
            <w:vAlign w:val="bottom"/>
          </w:tcPr>
          <w:p>
            <w:pPr>
              <w:ind w:left="20"/>
              <w:spacing w:after="0" w:line="148" w:lineRule="exact"/>
              <w:rPr>
                <w:sz w:val="20"/>
                <w:szCs w:val="20"/>
                <w:color w:val="auto"/>
              </w:rPr>
            </w:pPr>
            <w:r>
              <w:rPr>
                <w:rFonts w:ascii="Arial" w:cs="Arial" w:eastAsia="Arial" w:hAnsi="Arial"/>
                <w:sz w:val="13"/>
                <w:szCs w:val="13"/>
                <w:color w:val="auto"/>
              </w:rPr>
              <w:t>Total current liabilities</w:t>
            </w:r>
          </w:p>
        </w:tc>
        <w:tc>
          <w:tcPr>
            <w:tcW w:w="80" w:type="dxa"/>
            <w:vAlign w:val="bottom"/>
            <w:tcBorders>
              <w:bottom w:val="single" w:sz="8" w:color="B6B6B6"/>
            </w:tcBorders>
            <w:shd w:val="clear" w:color="auto" w:fill="B6B6B6"/>
          </w:tcPr>
          <w:p>
            <w:pPr>
              <w:spacing w:after="0"/>
              <w:rPr>
                <w:sz w:val="14"/>
                <w:szCs w:val="14"/>
                <w:color w:val="auto"/>
              </w:rPr>
            </w:pPr>
          </w:p>
        </w:tc>
        <w:tc>
          <w:tcPr>
            <w:tcW w:w="14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175,682</w:t>
            </w:r>
          </w:p>
        </w:tc>
        <w:tc>
          <w:tcPr>
            <w:tcW w:w="100" w:type="dxa"/>
            <w:vAlign w:val="bottom"/>
          </w:tcPr>
          <w:p>
            <w:pPr>
              <w:spacing w:after="0"/>
              <w:rPr>
                <w:sz w:val="14"/>
                <w:szCs w:val="14"/>
                <w:color w:val="auto"/>
              </w:rPr>
            </w:pPr>
          </w:p>
        </w:tc>
        <w:tc>
          <w:tcPr>
            <w:tcW w:w="14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338,052</w:t>
            </w:r>
          </w:p>
        </w:tc>
        <w:tc>
          <w:tcPr>
            <w:tcW w:w="0" w:type="dxa"/>
            <w:vAlign w:val="bottom"/>
          </w:tcPr>
          <w:p>
            <w:pPr>
              <w:spacing w:after="0"/>
              <w:rPr>
                <w:sz w:val="1"/>
                <w:szCs w:val="1"/>
                <w:color w:val="auto"/>
              </w:rPr>
            </w:pPr>
          </w:p>
        </w:tc>
      </w:tr>
      <w:tr>
        <w:trPr>
          <w:trHeight w:val="148"/>
        </w:trPr>
        <w:tc>
          <w:tcPr>
            <w:tcW w:w="8480" w:type="dxa"/>
            <w:vAlign w:val="bottom"/>
          </w:tcPr>
          <w:p>
            <w:pPr>
              <w:ind w:left="20"/>
              <w:spacing w:after="0" w:line="148" w:lineRule="exact"/>
              <w:rPr>
                <w:sz w:val="20"/>
                <w:szCs w:val="20"/>
                <w:color w:val="auto"/>
              </w:rPr>
            </w:pPr>
            <w:r>
              <w:rPr>
                <w:rFonts w:ascii="Arial" w:cs="Arial" w:eastAsia="Arial" w:hAnsi="Arial"/>
                <w:sz w:val="13"/>
                <w:szCs w:val="13"/>
                <w:i w:val="1"/>
                <w:iCs w:val="1"/>
                <w:color w:val="auto"/>
              </w:rPr>
              <w:t>Non-current liabilities:</w:t>
            </w:r>
          </w:p>
        </w:tc>
        <w:tc>
          <w:tcPr>
            <w:tcW w:w="80" w:type="dxa"/>
            <w:vAlign w:val="bottom"/>
            <w:shd w:val="clear" w:color="auto" w:fill="B6B6B6"/>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240"/>
              <w:spacing w:after="0"/>
              <w:rPr>
                <w:sz w:val="20"/>
                <w:szCs w:val="20"/>
                <w:color w:val="auto"/>
              </w:rPr>
            </w:pPr>
            <w:r>
              <w:rPr>
                <w:rFonts w:ascii="Arial" w:cs="Arial" w:eastAsia="Arial" w:hAnsi="Arial"/>
                <w:sz w:val="13"/>
                <w:szCs w:val="13"/>
                <w:color w:val="auto"/>
              </w:rPr>
              <w:t>Commissions payable - non-current</w:t>
            </w:r>
          </w:p>
        </w:tc>
        <w:tc>
          <w:tcPr>
            <w:tcW w:w="80" w:type="dxa"/>
            <w:vAlign w:val="bottom"/>
            <w:shd w:val="clear" w:color="auto" w:fill="B6B6B6"/>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169,049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177,656</w:t>
            </w:r>
          </w:p>
        </w:tc>
        <w:tc>
          <w:tcPr>
            <w:tcW w:w="0" w:type="dxa"/>
            <w:vAlign w:val="bottom"/>
          </w:tcPr>
          <w:p>
            <w:pPr>
              <w:spacing w:after="0"/>
              <w:rPr>
                <w:sz w:val="1"/>
                <w:szCs w:val="1"/>
                <w:color w:val="auto"/>
              </w:rPr>
            </w:pPr>
          </w:p>
        </w:tc>
      </w:tr>
      <w:tr>
        <w:trPr>
          <w:trHeight w:val="175"/>
        </w:trPr>
        <w:tc>
          <w:tcPr>
            <w:tcW w:w="8480" w:type="dxa"/>
            <w:vAlign w:val="bottom"/>
          </w:tcPr>
          <w:p>
            <w:pPr>
              <w:ind w:left="240"/>
              <w:spacing w:after="0"/>
              <w:rPr>
                <w:sz w:val="20"/>
                <w:szCs w:val="20"/>
                <w:color w:val="auto"/>
              </w:rPr>
            </w:pPr>
            <w:r>
              <w:rPr>
                <w:rFonts w:ascii="Arial" w:cs="Arial" w:eastAsia="Arial" w:hAnsi="Arial"/>
                <w:sz w:val="13"/>
                <w:szCs w:val="13"/>
                <w:color w:val="auto"/>
              </w:rPr>
              <w:t>Long-term operating lease liability</w:t>
            </w:r>
          </w:p>
        </w:tc>
        <w:tc>
          <w:tcPr>
            <w:tcW w:w="80" w:type="dxa"/>
            <w:vAlign w:val="bottom"/>
            <w:shd w:val="clear" w:color="auto" w:fill="B6B6B6"/>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29,958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34,900</w:t>
            </w:r>
          </w:p>
        </w:tc>
        <w:tc>
          <w:tcPr>
            <w:tcW w:w="0" w:type="dxa"/>
            <w:vAlign w:val="bottom"/>
          </w:tcPr>
          <w:p>
            <w:pPr>
              <w:spacing w:after="0"/>
              <w:rPr>
                <w:sz w:val="1"/>
                <w:szCs w:val="1"/>
                <w:color w:val="auto"/>
              </w:rPr>
            </w:pPr>
          </w:p>
        </w:tc>
      </w:tr>
      <w:tr>
        <w:trPr>
          <w:trHeight w:val="176"/>
        </w:trPr>
        <w:tc>
          <w:tcPr>
            <w:tcW w:w="8480" w:type="dxa"/>
            <w:vAlign w:val="bottom"/>
          </w:tcPr>
          <w:p>
            <w:pPr>
              <w:ind w:left="240"/>
              <w:spacing w:after="0"/>
              <w:rPr>
                <w:sz w:val="20"/>
                <w:szCs w:val="20"/>
                <w:color w:val="auto"/>
              </w:rPr>
            </w:pPr>
            <w:r>
              <w:rPr>
                <w:rFonts w:ascii="Arial" w:cs="Arial" w:eastAsia="Arial" w:hAnsi="Arial"/>
                <w:sz w:val="13"/>
                <w:szCs w:val="13"/>
                <w:color w:val="auto"/>
              </w:rPr>
              <w:t>Deferred tax liability</w:t>
            </w:r>
          </w:p>
        </w:tc>
        <w:tc>
          <w:tcPr>
            <w:tcW w:w="80" w:type="dxa"/>
            <w:vAlign w:val="bottom"/>
            <w:shd w:val="clear" w:color="auto" w:fill="B6B6B6"/>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22,754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22,350</w:t>
            </w:r>
          </w:p>
        </w:tc>
        <w:tc>
          <w:tcPr>
            <w:tcW w:w="0" w:type="dxa"/>
            <w:vAlign w:val="bottom"/>
          </w:tcPr>
          <w:p>
            <w:pPr>
              <w:spacing w:after="0"/>
              <w:rPr>
                <w:sz w:val="1"/>
                <w:szCs w:val="1"/>
                <w:color w:val="auto"/>
              </w:rPr>
            </w:pPr>
          </w:p>
        </w:tc>
      </w:tr>
      <w:tr>
        <w:trPr>
          <w:trHeight w:val="175"/>
        </w:trPr>
        <w:tc>
          <w:tcPr>
            <w:tcW w:w="8480" w:type="dxa"/>
            <w:vAlign w:val="bottom"/>
          </w:tcPr>
          <w:p>
            <w:pPr>
              <w:ind w:left="240"/>
              <w:spacing w:after="0"/>
              <w:rPr>
                <w:sz w:val="20"/>
                <w:szCs w:val="20"/>
                <w:color w:val="auto"/>
              </w:rPr>
            </w:pPr>
            <w:r>
              <w:rPr>
                <w:rFonts w:ascii="Arial" w:cs="Arial" w:eastAsia="Arial" w:hAnsi="Arial"/>
                <w:sz w:val="13"/>
                <w:szCs w:val="13"/>
                <w:color w:val="auto"/>
              </w:rPr>
              <w:t>Long-term debt, net of current portion</w:t>
            </w:r>
          </w:p>
        </w:tc>
        <w:tc>
          <w:tcPr>
            <w:tcW w:w="80" w:type="dxa"/>
            <w:vAlign w:val="bottom"/>
            <w:shd w:val="clear" w:color="auto" w:fill="B6B6B6"/>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581,844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447,865</w:t>
            </w:r>
          </w:p>
        </w:tc>
        <w:tc>
          <w:tcPr>
            <w:tcW w:w="0" w:type="dxa"/>
            <w:vAlign w:val="bottom"/>
          </w:tcPr>
          <w:p>
            <w:pPr>
              <w:spacing w:after="0"/>
              <w:rPr>
                <w:sz w:val="1"/>
                <w:szCs w:val="1"/>
                <w:color w:val="auto"/>
              </w:rPr>
            </w:pPr>
          </w:p>
        </w:tc>
      </w:tr>
      <w:tr>
        <w:trPr>
          <w:trHeight w:val="183"/>
        </w:trPr>
        <w:tc>
          <w:tcPr>
            <w:tcW w:w="8480" w:type="dxa"/>
            <w:vAlign w:val="bottom"/>
          </w:tcPr>
          <w:p>
            <w:pPr>
              <w:ind w:left="240"/>
              <w:spacing w:after="0"/>
              <w:rPr>
                <w:sz w:val="20"/>
                <w:szCs w:val="20"/>
                <w:color w:val="auto"/>
              </w:rPr>
            </w:pPr>
            <w:r>
              <w:rPr>
                <w:rFonts w:ascii="Arial" w:cs="Arial" w:eastAsia="Arial" w:hAnsi="Arial"/>
                <w:sz w:val="13"/>
                <w:szCs w:val="13"/>
                <w:color w:val="auto"/>
              </w:rPr>
              <w:t>Other non-current liabilities</w:t>
            </w:r>
          </w:p>
        </w:tc>
        <w:tc>
          <w:tcPr>
            <w:tcW w:w="80" w:type="dxa"/>
            <w:vAlign w:val="bottom"/>
            <w:tcBorders>
              <w:bottom w:val="single" w:sz="8" w:color="B6B6B6"/>
            </w:tcBorders>
            <w:shd w:val="clear" w:color="auto" w:fill="B6B6B6"/>
          </w:tcPr>
          <w:p>
            <w:pPr>
              <w:spacing w:after="0"/>
              <w:rPr>
                <w:sz w:val="15"/>
                <w:szCs w:val="15"/>
                <w:color w:val="auto"/>
              </w:rPr>
            </w:pPr>
          </w:p>
        </w:tc>
        <w:tc>
          <w:tcPr>
            <w:tcW w:w="14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2,227</w:t>
            </w:r>
          </w:p>
        </w:tc>
        <w:tc>
          <w:tcPr>
            <w:tcW w:w="100" w:type="dxa"/>
            <w:vAlign w:val="bottom"/>
          </w:tcPr>
          <w:p>
            <w:pPr>
              <w:spacing w:after="0"/>
              <w:rPr>
                <w:sz w:val="15"/>
                <w:szCs w:val="15"/>
                <w:color w:val="auto"/>
              </w:rPr>
            </w:pPr>
          </w:p>
        </w:tc>
        <w:tc>
          <w:tcPr>
            <w:tcW w:w="14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9,200</w:t>
            </w:r>
          </w:p>
        </w:tc>
        <w:tc>
          <w:tcPr>
            <w:tcW w:w="0" w:type="dxa"/>
            <w:vAlign w:val="bottom"/>
          </w:tcPr>
          <w:p>
            <w:pPr>
              <w:spacing w:after="0"/>
              <w:rPr>
                <w:sz w:val="1"/>
                <w:szCs w:val="1"/>
                <w:color w:val="auto"/>
              </w:rPr>
            </w:pPr>
          </w:p>
        </w:tc>
      </w:tr>
      <w:tr>
        <w:trPr>
          <w:trHeight w:val="169"/>
        </w:trPr>
        <w:tc>
          <w:tcPr>
            <w:tcW w:w="8480" w:type="dxa"/>
            <w:vAlign w:val="bottom"/>
          </w:tcPr>
          <w:p>
            <w:pPr>
              <w:ind w:left="20"/>
              <w:spacing w:after="0" w:line="148" w:lineRule="exact"/>
              <w:rPr>
                <w:sz w:val="20"/>
                <w:szCs w:val="20"/>
                <w:color w:val="auto"/>
              </w:rPr>
            </w:pPr>
            <w:r>
              <w:rPr>
                <w:rFonts w:ascii="Arial" w:cs="Arial" w:eastAsia="Arial" w:hAnsi="Arial"/>
                <w:sz w:val="13"/>
                <w:szCs w:val="13"/>
                <w:color w:val="auto"/>
              </w:rPr>
              <w:t>Total non-current liabilities</w:t>
            </w:r>
          </w:p>
        </w:tc>
        <w:tc>
          <w:tcPr>
            <w:tcW w:w="80" w:type="dxa"/>
            <w:vAlign w:val="bottom"/>
            <w:tcBorders>
              <w:bottom w:val="single" w:sz="8" w:color="B6B6B6"/>
            </w:tcBorders>
            <w:shd w:val="clear" w:color="auto" w:fill="B6B6B6"/>
          </w:tcPr>
          <w:p>
            <w:pPr>
              <w:spacing w:after="0"/>
              <w:rPr>
                <w:sz w:val="14"/>
                <w:szCs w:val="14"/>
                <w:color w:val="auto"/>
              </w:rPr>
            </w:pPr>
          </w:p>
        </w:tc>
        <w:tc>
          <w:tcPr>
            <w:tcW w:w="14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805,832</w:t>
            </w:r>
          </w:p>
        </w:tc>
        <w:tc>
          <w:tcPr>
            <w:tcW w:w="100" w:type="dxa"/>
            <w:vAlign w:val="bottom"/>
          </w:tcPr>
          <w:p>
            <w:pPr>
              <w:spacing w:after="0"/>
              <w:rPr>
                <w:sz w:val="14"/>
                <w:szCs w:val="14"/>
                <w:color w:val="auto"/>
              </w:rPr>
            </w:pPr>
          </w:p>
        </w:tc>
        <w:tc>
          <w:tcPr>
            <w:tcW w:w="14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691,971</w:t>
            </w:r>
          </w:p>
        </w:tc>
        <w:tc>
          <w:tcPr>
            <w:tcW w:w="0" w:type="dxa"/>
            <w:vAlign w:val="bottom"/>
          </w:tcPr>
          <w:p>
            <w:pPr>
              <w:spacing w:after="0"/>
              <w:rPr>
                <w:sz w:val="1"/>
                <w:szCs w:val="1"/>
                <w:color w:val="auto"/>
              </w:rPr>
            </w:pPr>
          </w:p>
        </w:tc>
      </w:tr>
      <w:tr>
        <w:trPr>
          <w:trHeight w:val="148"/>
        </w:trPr>
        <w:tc>
          <w:tcPr>
            <w:tcW w:w="8480" w:type="dxa"/>
            <w:vAlign w:val="bottom"/>
          </w:tcPr>
          <w:p>
            <w:pPr>
              <w:ind w:left="20"/>
              <w:spacing w:after="0" w:line="148" w:lineRule="exact"/>
              <w:rPr>
                <w:sz w:val="20"/>
                <w:szCs w:val="20"/>
                <w:color w:val="auto"/>
              </w:rPr>
            </w:pPr>
            <w:r>
              <w:rPr>
                <w:rFonts w:ascii="Arial" w:cs="Arial" w:eastAsia="Arial" w:hAnsi="Arial"/>
                <w:sz w:val="13"/>
                <w:szCs w:val="13"/>
                <w:color w:val="auto"/>
              </w:rPr>
              <w:t>Commitments and Contingencies (Note 11)</w:t>
            </w:r>
          </w:p>
        </w:tc>
        <w:tc>
          <w:tcPr>
            <w:tcW w:w="80" w:type="dxa"/>
            <w:vAlign w:val="bottom"/>
            <w:shd w:val="clear" w:color="auto" w:fill="B6B6B6"/>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480" w:type="dxa"/>
            <w:vAlign w:val="bottom"/>
          </w:tcPr>
          <w:p>
            <w:pPr>
              <w:ind w:left="240"/>
              <w:spacing w:after="0" w:line="144" w:lineRule="exact"/>
              <w:rPr>
                <w:sz w:val="20"/>
                <w:szCs w:val="20"/>
                <w:color w:val="auto"/>
              </w:rPr>
            </w:pPr>
            <w:r>
              <w:rPr>
                <w:rFonts w:ascii="Arial" w:cs="Arial" w:eastAsia="Arial" w:hAnsi="Arial"/>
                <w:sz w:val="13"/>
                <w:szCs w:val="13"/>
                <w:color w:val="auto"/>
              </w:rPr>
              <w:t>Series A redeemable convertible preferred stock — $0.0001 par value; 50 shares authorized; 50 shares issued and outstanding as of both</w:t>
            </w:r>
          </w:p>
        </w:tc>
        <w:tc>
          <w:tcPr>
            <w:tcW w:w="80" w:type="dxa"/>
            <w:vAlign w:val="bottom"/>
            <w:shd w:val="clear" w:color="auto" w:fill="B6B6B6"/>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4" w:lineRule="exact"/>
              <w:rPr>
                <w:sz w:val="20"/>
                <w:szCs w:val="20"/>
                <w:color w:val="auto"/>
              </w:rPr>
            </w:pPr>
            <w:r>
              <w:rPr>
                <w:rFonts w:ascii="Arial" w:cs="Arial" w:eastAsia="Arial" w:hAnsi="Arial"/>
                <w:sz w:val="13"/>
                <w:szCs w:val="13"/>
                <w:color w:val="auto"/>
              </w:rPr>
              <w:t>55,880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4" w:lineRule="exact"/>
              <w:rPr>
                <w:sz w:val="20"/>
                <w:szCs w:val="20"/>
                <w:color w:val="auto"/>
              </w:rPr>
            </w:pPr>
            <w:r>
              <w:rPr>
                <w:rFonts w:ascii="Arial" w:cs="Arial" w:eastAsia="Arial" w:hAnsi="Arial"/>
                <w:sz w:val="13"/>
                <w:szCs w:val="13"/>
                <w:color w:val="auto"/>
              </w:rPr>
              <w:t>52,962</w:t>
            </w:r>
          </w:p>
        </w:tc>
        <w:tc>
          <w:tcPr>
            <w:tcW w:w="0" w:type="dxa"/>
            <w:vAlign w:val="bottom"/>
          </w:tcPr>
          <w:p>
            <w:pPr>
              <w:spacing w:after="0"/>
              <w:rPr>
                <w:sz w:val="1"/>
                <w:szCs w:val="1"/>
                <w:color w:val="auto"/>
              </w:rPr>
            </w:pPr>
          </w:p>
        </w:tc>
      </w:tr>
      <w:tr>
        <w:trPr>
          <w:trHeight w:val="126"/>
        </w:trPr>
        <w:tc>
          <w:tcPr>
            <w:tcW w:w="8480" w:type="dxa"/>
            <w:vAlign w:val="bottom"/>
          </w:tcPr>
          <w:p>
            <w:pPr>
              <w:ind w:left="240"/>
              <w:spacing w:after="0" w:line="126" w:lineRule="exact"/>
              <w:rPr>
                <w:sz w:val="20"/>
                <w:szCs w:val="20"/>
                <w:color w:val="auto"/>
              </w:rPr>
            </w:pPr>
            <w:r>
              <w:rPr>
                <w:rFonts w:ascii="Arial" w:cs="Arial" w:eastAsia="Arial" w:hAnsi="Arial"/>
                <w:sz w:val="13"/>
                <w:szCs w:val="13"/>
                <w:color w:val="auto"/>
                <w:w w:val="98"/>
              </w:rPr>
              <w:t>September 30, 2025 and December 31, 2024. Liquidation preference of $57.5 million and $54.6 million as of September 30, 2025 and December</w:t>
            </w:r>
          </w:p>
        </w:tc>
        <w:tc>
          <w:tcPr>
            <w:tcW w:w="80" w:type="dxa"/>
            <w:vAlign w:val="bottom"/>
            <w:shd w:val="clear" w:color="auto" w:fill="B6B6B6"/>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480" w:type="dxa"/>
            <w:vAlign w:val="bottom"/>
          </w:tcPr>
          <w:p>
            <w:pPr>
              <w:ind w:left="240"/>
              <w:spacing w:after="0"/>
              <w:rPr>
                <w:sz w:val="20"/>
                <w:szCs w:val="20"/>
                <w:color w:val="auto"/>
              </w:rPr>
            </w:pPr>
            <w:r>
              <w:rPr>
                <w:rFonts w:ascii="Arial" w:cs="Arial" w:eastAsia="Arial" w:hAnsi="Arial"/>
                <w:sz w:val="13"/>
                <w:szCs w:val="13"/>
                <w:color w:val="auto"/>
              </w:rPr>
              <w:t>31, 2024, respectively.</w:t>
            </w:r>
          </w:p>
        </w:tc>
        <w:tc>
          <w:tcPr>
            <w:tcW w:w="80" w:type="dxa"/>
            <w:vAlign w:val="bottom"/>
            <w:shd w:val="clear" w:color="auto" w:fill="B6B6B6"/>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480" w:type="dxa"/>
            <w:vAlign w:val="bottom"/>
          </w:tcPr>
          <w:p>
            <w:pPr>
              <w:ind w:left="20"/>
              <w:spacing w:after="0"/>
              <w:rPr>
                <w:sz w:val="20"/>
                <w:szCs w:val="20"/>
                <w:color w:val="auto"/>
              </w:rPr>
            </w:pPr>
            <w:r>
              <w:rPr>
                <w:rFonts w:ascii="Arial" w:cs="Arial" w:eastAsia="Arial" w:hAnsi="Arial"/>
                <w:sz w:val="13"/>
                <w:szCs w:val="13"/>
                <w:i w:val="1"/>
                <w:iCs w:val="1"/>
                <w:color w:val="auto"/>
              </w:rPr>
              <w:t>Stockholders’ equity (deficit):</w:t>
            </w:r>
          </w:p>
        </w:tc>
        <w:tc>
          <w:tcPr>
            <w:tcW w:w="80" w:type="dxa"/>
            <w:vAlign w:val="bottom"/>
            <w:shd w:val="clear" w:color="auto" w:fill="B6B6B6"/>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480" w:type="dxa"/>
            <w:vAlign w:val="bottom"/>
          </w:tcPr>
          <w:p>
            <w:pPr>
              <w:ind w:left="240"/>
              <w:spacing w:after="0" w:line="144" w:lineRule="exact"/>
              <w:rPr>
                <w:sz w:val="20"/>
                <w:szCs w:val="20"/>
                <w:color w:val="auto"/>
              </w:rPr>
            </w:pPr>
            <w:r>
              <w:rPr>
                <w:rFonts w:ascii="Arial" w:cs="Arial" w:eastAsia="Arial" w:hAnsi="Arial"/>
                <w:sz w:val="13"/>
                <w:szCs w:val="13"/>
                <w:color w:val="auto"/>
              </w:rPr>
              <w:t>Class A common stock – $0.0001 par value; 1,100,000 shares authorized as of both September 30, 2025 and December 31, 2024; 16,803 and</w:t>
            </w:r>
          </w:p>
        </w:tc>
        <w:tc>
          <w:tcPr>
            <w:tcW w:w="80" w:type="dxa"/>
            <w:vAlign w:val="bottom"/>
            <w:shd w:val="clear" w:color="auto" w:fill="B6B6B6"/>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4"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4"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6"/>
        </w:trPr>
        <w:tc>
          <w:tcPr>
            <w:tcW w:w="8480" w:type="dxa"/>
            <w:vAlign w:val="bottom"/>
          </w:tcPr>
          <w:p>
            <w:pPr>
              <w:ind w:left="240"/>
              <w:spacing w:after="0" w:line="126" w:lineRule="exact"/>
              <w:rPr>
                <w:sz w:val="20"/>
                <w:szCs w:val="20"/>
                <w:color w:val="auto"/>
              </w:rPr>
            </w:pPr>
            <w:r>
              <w:rPr>
                <w:rFonts w:ascii="Arial" w:cs="Arial" w:eastAsia="Arial" w:hAnsi="Arial"/>
                <w:sz w:val="13"/>
                <w:szCs w:val="13"/>
                <w:color w:val="auto"/>
                <w:w w:val="97"/>
              </w:rPr>
              <w:t>10,614 shares issued as of September 30, 2025 and December 31, 2024, respectively; 16,032 and 10,292 shares outstanding as of September 30,</w:t>
            </w:r>
          </w:p>
        </w:tc>
        <w:tc>
          <w:tcPr>
            <w:tcW w:w="80" w:type="dxa"/>
            <w:vAlign w:val="bottom"/>
            <w:shd w:val="clear" w:color="auto" w:fill="B6B6B6"/>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480" w:type="dxa"/>
            <w:vAlign w:val="bottom"/>
          </w:tcPr>
          <w:p>
            <w:pPr>
              <w:ind w:left="240"/>
              <w:spacing w:after="0"/>
              <w:rPr>
                <w:sz w:val="20"/>
                <w:szCs w:val="20"/>
                <w:color w:val="auto"/>
              </w:rPr>
            </w:pPr>
            <w:r>
              <w:rPr>
                <w:rFonts w:ascii="Arial" w:cs="Arial" w:eastAsia="Arial" w:hAnsi="Arial"/>
                <w:sz w:val="13"/>
                <w:szCs w:val="13"/>
                <w:color w:val="auto"/>
              </w:rPr>
              <w:t>2025 and December 31, 2024, respectively.</w:t>
            </w:r>
          </w:p>
        </w:tc>
        <w:tc>
          <w:tcPr>
            <w:tcW w:w="80" w:type="dxa"/>
            <w:vAlign w:val="bottom"/>
            <w:shd w:val="clear" w:color="auto" w:fill="B6B6B6"/>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480" w:type="dxa"/>
            <w:vAlign w:val="bottom"/>
          </w:tcPr>
          <w:p>
            <w:pPr>
              <w:ind w:left="240"/>
              <w:spacing w:after="0" w:line="140" w:lineRule="exact"/>
              <w:rPr>
                <w:sz w:val="20"/>
                <w:szCs w:val="20"/>
                <w:color w:val="auto"/>
              </w:rPr>
            </w:pPr>
            <w:r>
              <w:rPr>
                <w:rFonts w:ascii="Arial" w:cs="Arial" w:eastAsia="Arial" w:hAnsi="Arial"/>
                <w:sz w:val="13"/>
                <w:szCs w:val="13"/>
                <w:color w:val="auto"/>
              </w:rPr>
              <w:t>Class B common stock – $0.0001 par value; 615,825 and 615,917 shares authorized as of September 30, 2025 and December 31, 2024,</w:t>
            </w:r>
          </w:p>
        </w:tc>
        <w:tc>
          <w:tcPr>
            <w:tcW w:w="80" w:type="dxa"/>
            <w:vAlign w:val="bottom"/>
            <w:shd w:val="clear" w:color="auto" w:fill="B6B6B6"/>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0"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0"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6"/>
        </w:trPr>
        <w:tc>
          <w:tcPr>
            <w:tcW w:w="8480" w:type="dxa"/>
            <w:vAlign w:val="bottom"/>
          </w:tcPr>
          <w:p>
            <w:pPr>
              <w:ind w:left="240"/>
              <w:spacing w:after="0"/>
              <w:rPr>
                <w:sz w:val="20"/>
                <w:szCs w:val="20"/>
                <w:color w:val="auto"/>
              </w:rPr>
            </w:pPr>
            <w:r>
              <w:rPr>
                <w:rFonts w:ascii="Arial" w:cs="Arial" w:eastAsia="Arial" w:hAnsi="Arial"/>
                <w:sz w:val="13"/>
                <w:szCs w:val="13"/>
                <w:color w:val="auto"/>
              </w:rPr>
              <w:t>respectively; 12,621 and 12,711 shares issued and outstanding as of September 30, 2025 and December 31, 2024, respectively.</w:t>
            </w:r>
          </w:p>
        </w:tc>
        <w:tc>
          <w:tcPr>
            <w:tcW w:w="80" w:type="dxa"/>
            <w:vAlign w:val="bottom"/>
            <w:shd w:val="clear" w:color="auto" w:fill="B6B6B6"/>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480" w:type="dxa"/>
            <w:vAlign w:val="bottom"/>
          </w:tcPr>
          <w:p>
            <w:pPr>
              <w:ind w:left="240"/>
              <w:spacing w:after="0" w:line="145" w:lineRule="exact"/>
              <w:rPr>
                <w:sz w:val="20"/>
                <w:szCs w:val="20"/>
                <w:color w:val="auto"/>
              </w:rPr>
            </w:pPr>
            <w:r>
              <w:rPr>
                <w:rFonts w:ascii="Arial" w:cs="Arial" w:eastAsia="Arial" w:hAnsi="Arial"/>
                <w:sz w:val="13"/>
                <w:szCs w:val="13"/>
                <w:color w:val="auto"/>
                <w:w w:val="97"/>
              </w:rPr>
              <w:t>Preferred stock – $0.0001 par value; 20,000 shares authorized (including 50 shares of Series A redeemable convertible preferred stock authorized</w:t>
            </w:r>
          </w:p>
        </w:tc>
        <w:tc>
          <w:tcPr>
            <w:tcW w:w="80" w:type="dxa"/>
            <w:vAlign w:val="bottom"/>
            <w:shd w:val="clear" w:color="auto" w:fill="B6B6B6"/>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14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8480" w:type="dxa"/>
            <w:vAlign w:val="bottom"/>
          </w:tcPr>
          <w:p>
            <w:pPr>
              <w:ind w:left="240"/>
              <w:spacing w:after="0" w:line="126" w:lineRule="exact"/>
              <w:rPr>
                <w:sz w:val="20"/>
                <w:szCs w:val="20"/>
                <w:color w:val="auto"/>
              </w:rPr>
            </w:pPr>
            <w:r>
              <w:rPr>
                <w:rFonts w:ascii="Arial" w:cs="Arial" w:eastAsia="Arial" w:hAnsi="Arial"/>
                <w:sz w:val="13"/>
                <w:szCs w:val="13"/>
                <w:color w:val="auto"/>
              </w:rPr>
              <w:t>and 200 shares of Series A-1 convertible preferred stock authorized); 50 shares issued and outstanding as of both September 30, 2025 and</w:t>
            </w:r>
          </w:p>
        </w:tc>
        <w:tc>
          <w:tcPr>
            <w:tcW w:w="80" w:type="dxa"/>
            <w:vAlign w:val="bottom"/>
            <w:shd w:val="clear" w:color="auto" w:fill="B6B6B6"/>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480" w:type="dxa"/>
            <w:vAlign w:val="bottom"/>
          </w:tcPr>
          <w:p>
            <w:pPr>
              <w:ind w:left="240"/>
              <w:spacing w:after="0"/>
              <w:rPr>
                <w:sz w:val="20"/>
                <w:szCs w:val="20"/>
                <w:color w:val="auto"/>
              </w:rPr>
            </w:pPr>
            <w:r>
              <w:rPr>
                <w:rFonts w:ascii="Arial" w:cs="Arial" w:eastAsia="Arial" w:hAnsi="Arial"/>
                <w:sz w:val="13"/>
                <w:szCs w:val="13"/>
                <w:color w:val="auto"/>
              </w:rPr>
              <w:t>December 31, 2024.</w:t>
            </w:r>
          </w:p>
        </w:tc>
        <w:tc>
          <w:tcPr>
            <w:tcW w:w="80" w:type="dxa"/>
            <w:vAlign w:val="bottom"/>
            <w:shd w:val="clear" w:color="auto" w:fill="B6B6B6"/>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480" w:type="dxa"/>
            <w:vAlign w:val="bottom"/>
          </w:tcPr>
          <w:p>
            <w:pPr>
              <w:ind w:left="240"/>
              <w:spacing w:after="0" w:line="140" w:lineRule="exact"/>
              <w:rPr>
                <w:sz w:val="20"/>
                <w:szCs w:val="20"/>
                <w:color w:val="auto"/>
              </w:rPr>
            </w:pPr>
            <w:r>
              <w:rPr>
                <w:rFonts w:ascii="Arial" w:cs="Arial" w:eastAsia="Arial" w:hAnsi="Arial"/>
                <w:sz w:val="13"/>
                <w:szCs w:val="13"/>
                <w:color w:val="auto"/>
                <w:w w:val="99"/>
              </w:rPr>
              <w:t>Series A-1 convertible preferred stock— $0.0001 par value; 200 shares authorized; no shares issued and outstanding as of both September 30,</w:t>
            </w:r>
          </w:p>
        </w:tc>
        <w:tc>
          <w:tcPr>
            <w:tcW w:w="80" w:type="dxa"/>
            <w:vAlign w:val="bottom"/>
            <w:shd w:val="clear" w:color="auto" w:fill="B6B6B6"/>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14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8480" w:type="dxa"/>
            <w:vAlign w:val="bottom"/>
          </w:tcPr>
          <w:p>
            <w:pPr>
              <w:ind w:left="240"/>
              <w:spacing w:after="0"/>
              <w:rPr>
                <w:sz w:val="20"/>
                <w:szCs w:val="20"/>
                <w:color w:val="auto"/>
              </w:rPr>
            </w:pPr>
            <w:r>
              <w:rPr>
                <w:rFonts w:ascii="Arial" w:cs="Arial" w:eastAsia="Arial" w:hAnsi="Arial"/>
                <w:sz w:val="13"/>
                <w:szCs w:val="13"/>
                <w:color w:val="auto"/>
              </w:rPr>
              <w:t>2025 and December 31, 2024.</w:t>
            </w:r>
          </w:p>
        </w:tc>
        <w:tc>
          <w:tcPr>
            <w:tcW w:w="80" w:type="dxa"/>
            <w:vAlign w:val="bottom"/>
            <w:shd w:val="clear" w:color="auto" w:fill="B6B6B6"/>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240"/>
              <w:spacing w:after="0"/>
              <w:rPr>
                <w:sz w:val="20"/>
                <w:szCs w:val="20"/>
                <w:color w:val="auto"/>
              </w:rPr>
            </w:pPr>
            <w:r>
              <w:rPr>
                <w:rFonts w:ascii="Arial" w:cs="Arial" w:eastAsia="Arial" w:hAnsi="Arial"/>
                <w:sz w:val="13"/>
                <w:szCs w:val="13"/>
                <w:color w:val="auto"/>
              </w:rPr>
              <w:t>Treasury stock – at cost; 771 and 322 shares of Class A common stock as of September 30, 2025 and December 31, 2024, respectively.</w:t>
            </w:r>
          </w:p>
        </w:tc>
        <w:tc>
          <w:tcPr>
            <w:tcW w:w="80" w:type="dxa"/>
            <w:vAlign w:val="bottom"/>
            <w:shd w:val="clear" w:color="auto" w:fill="B6B6B6"/>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(9,280)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(4,150)</w:t>
            </w:r>
          </w:p>
        </w:tc>
        <w:tc>
          <w:tcPr>
            <w:tcW w:w="0" w:type="dxa"/>
            <w:vAlign w:val="bottom"/>
          </w:tcPr>
          <w:p>
            <w:pPr>
              <w:spacing w:after="0"/>
              <w:rPr>
                <w:sz w:val="1"/>
                <w:szCs w:val="1"/>
                <w:color w:val="auto"/>
              </w:rPr>
            </w:pPr>
          </w:p>
        </w:tc>
      </w:tr>
      <w:tr>
        <w:trPr>
          <w:trHeight w:val="175"/>
        </w:trPr>
        <w:tc>
          <w:tcPr>
            <w:tcW w:w="8480" w:type="dxa"/>
            <w:vAlign w:val="bottom"/>
          </w:tcPr>
          <w:p>
            <w:pPr>
              <w:ind w:left="240"/>
              <w:spacing w:after="0"/>
              <w:rPr>
                <w:sz w:val="20"/>
                <w:szCs w:val="20"/>
                <w:color w:val="auto"/>
              </w:rPr>
            </w:pPr>
            <w:r>
              <w:rPr>
                <w:rFonts w:ascii="Arial" w:cs="Arial" w:eastAsia="Arial" w:hAnsi="Arial"/>
                <w:sz w:val="13"/>
                <w:szCs w:val="13"/>
                <w:color w:val="auto"/>
              </w:rPr>
              <w:t>Additional paid-in capital</w:t>
            </w:r>
          </w:p>
        </w:tc>
        <w:tc>
          <w:tcPr>
            <w:tcW w:w="80" w:type="dxa"/>
            <w:vAlign w:val="bottom"/>
            <w:shd w:val="clear" w:color="auto" w:fill="B6B6B6"/>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725,242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669,346</w:t>
            </w:r>
          </w:p>
        </w:tc>
        <w:tc>
          <w:tcPr>
            <w:tcW w:w="0" w:type="dxa"/>
            <w:vAlign w:val="bottom"/>
          </w:tcPr>
          <w:p>
            <w:pPr>
              <w:spacing w:after="0"/>
              <w:rPr>
                <w:sz w:val="1"/>
                <w:szCs w:val="1"/>
                <w:color w:val="auto"/>
              </w:rPr>
            </w:pPr>
          </w:p>
        </w:tc>
      </w:tr>
      <w:tr>
        <w:trPr>
          <w:trHeight w:val="175"/>
        </w:trPr>
        <w:tc>
          <w:tcPr>
            <w:tcW w:w="8480" w:type="dxa"/>
            <w:vAlign w:val="bottom"/>
          </w:tcPr>
          <w:p>
            <w:pPr>
              <w:ind w:left="240"/>
              <w:spacing w:after="0"/>
              <w:rPr>
                <w:sz w:val="20"/>
                <w:szCs w:val="20"/>
                <w:color w:val="auto"/>
              </w:rPr>
            </w:pPr>
            <w:r>
              <w:rPr>
                <w:rFonts w:ascii="Arial" w:cs="Arial" w:eastAsia="Arial" w:hAnsi="Arial"/>
                <w:sz w:val="13"/>
                <w:szCs w:val="13"/>
                <w:color w:val="auto"/>
              </w:rPr>
              <w:t>Accumulated other comprehensive income (loss)</w:t>
            </w:r>
          </w:p>
        </w:tc>
        <w:tc>
          <w:tcPr>
            <w:tcW w:w="80" w:type="dxa"/>
            <w:vAlign w:val="bottom"/>
            <w:shd w:val="clear" w:color="auto" w:fill="B6B6B6"/>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83"/>
        </w:trPr>
        <w:tc>
          <w:tcPr>
            <w:tcW w:w="8480" w:type="dxa"/>
            <w:vAlign w:val="bottom"/>
          </w:tcPr>
          <w:p>
            <w:pPr>
              <w:ind w:left="240"/>
              <w:spacing w:after="0"/>
              <w:rPr>
                <w:sz w:val="20"/>
                <w:szCs w:val="20"/>
                <w:color w:val="auto"/>
              </w:rPr>
            </w:pPr>
            <w:r>
              <w:rPr>
                <w:rFonts w:ascii="Arial" w:cs="Arial" w:eastAsia="Arial" w:hAnsi="Arial"/>
                <w:sz w:val="13"/>
                <w:szCs w:val="13"/>
                <w:color w:val="auto"/>
              </w:rPr>
              <w:t>Accumulated deficit</w:t>
            </w:r>
          </w:p>
        </w:tc>
        <w:tc>
          <w:tcPr>
            <w:tcW w:w="80" w:type="dxa"/>
            <w:vAlign w:val="bottom"/>
            <w:tcBorders>
              <w:bottom w:val="single" w:sz="8" w:color="B6B6B6"/>
            </w:tcBorders>
            <w:shd w:val="clear" w:color="auto" w:fill="B6B6B6"/>
          </w:tcPr>
          <w:p>
            <w:pPr>
              <w:spacing w:after="0"/>
              <w:rPr>
                <w:sz w:val="15"/>
                <w:szCs w:val="15"/>
                <w:color w:val="auto"/>
              </w:rPr>
            </w:pPr>
          </w:p>
        </w:tc>
        <w:tc>
          <w:tcPr>
            <w:tcW w:w="14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(647,739)</w:t>
            </w:r>
          </w:p>
        </w:tc>
        <w:tc>
          <w:tcPr>
            <w:tcW w:w="100" w:type="dxa"/>
            <w:vAlign w:val="bottom"/>
          </w:tcPr>
          <w:p>
            <w:pPr>
              <w:spacing w:after="0"/>
              <w:rPr>
                <w:sz w:val="15"/>
                <w:szCs w:val="15"/>
                <w:color w:val="auto"/>
              </w:rPr>
            </w:pPr>
          </w:p>
        </w:tc>
        <w:tc>
          <w:tcPr>
            <w:tcW w:w="14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(423,208)</w:t>
            </w:r>
          </w:p>
        </w:tc>
        <w:tc>
          <w:tcPr>
            <w:tcW w:w="0" w:type="dxa"/>
            <w:vAlign w:val="bottom"/>
          </w:tcPr>
          <w:p>
            <w:pPr>
              <w:spacing w:after="0"/>
              <w:rPr>
                <w:sz w:val="1"/>
                <w:szCs w:val="1"/>
                <w:color w:val="auto"/>
              </w:rPr>
            </w:pPr>
          </w:p>
        </w:tc>
      </w:tr>
      <w:tr>
        <w:trPr>
          <w:trHeight w:val="169"/>
        </w:trPr>
        <w:tc>
          <w:tcPr>
            <w:tcW w:w="8480" w:type="dxa"/>
            <w:vAlign w:val="bottom"/>
          </w:tcPr>
          <w:p>
            <w:pPr>
              <w:ind w:left="20"/>
              <w:spacing w:after="0" w:line="148" w:lineRule="exact"/>
              <w:rPr>
                <w:sz w:val="20"/>
                <w:szCs w:val="20"/>
                <w:color w:val="auto"/>
              </w:rPr>
            </w:pPr>
            <w:r>
              <w:rPr>
                <w:rFonts w:ascii="Arial" w:cs="Arial" w:eastAsia="Arial" w:hAnsi="Arial"/>
                <w:sz w:val="13"/>
                <w:szCs w:val="13"/>
                <w:color w:val="auto"/>
              </w:rPr>
              <w:t>Total stockholders’ equity (deficit) attributable to GoHealth, Inc.</w:t>
            </w:r>
          </w:p>
        </w:tc>
        <w:tc>
          <w:tcPr>
            <w:tcW w:w="80" w:type="dxa"/>
            <w:vAlign w:val="bottom"/>
            <w:tcBorders>
              <w:bottom w:val="single" w:sz="8" w:color="B6B6B6"/>
            </w:tcBorders>
            <w:shd w:val="clear" w:color="auto" w:fill="B6B6B6"/>
          </w:tcPr>
          <w:p>
            <w:pPr>
              <w:spacing w:after="0"/>
              <w:rPr>
                <w:sz w:val="14"/>
                <w:szCs w:val="14"/>
                <w:color w:val="auto"/>
              </w:rPr>
            </w:pPr>
          </w:p>
        </w:tc>
        <w:tc>
          <w:tcPr>
            <w:tcW w:w="14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68,170</w:t>
            </w:r>
          </w:p>
        </w:tc>
        <w:tc>
          <w:tcPr>
            <w:tcW w:w="100" w:type="dxa"/>
            <w:vAlign w:val="bottom"/>
          </w:tcPr>
          <w:p>
            <w:pPr>
              <w:spacing w:after="0"/>
              <w:rPr>
                <w:sz w:val="14"/>
                <w:szCs w:val="14"/>
                <w:color w:val="auto"/>
              </w:rPr>
            </w:pPr>
          </w:p>
        </w:tc>
        <w:tc>
          <w:tcPr>
            <w:tcW w:w="14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241,839</w:t>
            </w:r>
          </w:p>
        </w:tc>
        <w:tc>
          <w:tcPr>
            <w:tcW w:w="0" w:type="dxa"/>
            <w:vAlign w:val="bottom"/>
          </w:tcPr>
          <w:p>
            <w:pPr>
              <w:spacing w:after="0"/>
              <w:rPr>
                <w:sz w:val="1"/>
                <w:szCs w:val="1"/>
                <w:color w:val="auto"/>
              </w:rPr>
            </w:pPr>
          </w:p>
        </w:tc>
      </w:tr>
      <w:tr>
        <w:trPr>
          <w:trHeight w:val="169"/>
        </w:trPr>
        <w:tc>
          <w:tcPr>
            <w:tcW w:w="8480" w:type="dxa"/>
            <w:vAlign w:val="bottom"/>
          </w:tcPr>
          <w:p>
            <w:pPr>
              <w:ind w:left="20"/>
              <w:spacing w:after="0" w:line="148" w:lineRule="exact"/>
              <w:rPr>
                <w:sz w:val="20"/>
                <w:szCs w:val="20"/>
                <w:color w:val="auto"/>
              </w:rPr>
            </w:pPr>
            <w:r>
              <w:rPr>
                <w:rFonts w:ascii="Arial" w:cs="Arial" w:eastAsia="Arial" w:hAnsi="Arial"/>
                <w:sz w:val="13"/>
                <w:szCs w:val="13"/>
                <w:color w:val="auto"/>
              </w:rPr>
              <w:t>Non-controlling interests</w:t>
            </w:r>
          </w:p>
        </w:tc>
        <w:tc>
          <w:tcPr>
            <w:tcW w:w="80" w:type="dxa"/>
            <w:vAlign w:val="bottom"/>
            <w:tcBorders>
              <w:bottom w:val="single" w:sz="8" w:color="B6B6B6"/>
            </w:tcBorders>
            <w:shd w:val="clear" w:color="auto" w:fill="B6B6B6"/>
          </w:tcPr>
          <w:p>
            <w:pPr>
              <w:spacing w:after="0"/>
              <w:rPr>
                <w:sz w:val="14"/>
                <w:szCs w:val="14"/>
                <w:color w:val="auto"/>
              </w:rPr>
            </w:pPr>
          </w:p>
        </w:tc>
        <w:tc>
          <w:tcPr>
            <w:tcW w:w="14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(75,078)</w:t>
            </w:r>
          </w:p>
        </w:tc>
        <w:tc>
          <w:tcPr>
            <w:tcW w:w="100" w:type="dxa"/>
            <w:vAlign w:val="bottom"/>
          </w:tcPr>
          <w:p>
            <w:pPr>
              <w:spacing w:after="0"/>
              <w:rPr>
                <w:sz w:val="14"/>
                <w:szCs w:val="14"/>
                <w:color w:val="auto"/>
              </w:rPr>
            </w:pPr>
          </w:p>
        </w:tc>
        <w:tc>
          <w:tcPr>
            <w:tcW w:w="14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163,599</w:t>
            </w:r>
          </w:p>
        </w:tc>
        <w:tc>
          <w:tcPr>
            <w:tcW w:w="0" w:type="dxa"/>
            <w:vAlign w:val="bottom"/>
          </w:tcPr>
          <w:p>
            <w:pPr>
              <w:spacing w:after="0"/>
              <w:rPr>
                <w:sz w:val="1"/>
                <w:szCs w:val="1"/>
                <w:color w:val="auto"/>
              </w:rPr>
            </w:pPr>
          </w:p>
        </w:tc>
      </w:tr>
      <w:tr>
        <w:trPr>
          <w:trHeight w:val="169"/>
        </w:trPr>
        <w:tc>
          <w:tcPr>
            <w:tcW w:w="8480" w:type="dxa"/>
            <w:vAlign w:val="bottom"/>
          </w:tcPr>
          <w:p>
            <w:pPr>
              <w:ind w:left="20"/>
              <w:spacing w:after="0" w:line="148" w:lineRule="exact"/>
              <w:rPr>
                <w:sz w:val="20"/>
                <w:szCs w:val="20"/>
                <w:color w:val="auto"/>
              </w:rPr>
            </w:pPr>
            <w:r>
              <w:rPr>
                <w:rFonts w:ascii="Arial" w:cs="Arial" w:eastAsia="Arial" w:hAnsi="Arial"/>
                <w:sz w:val="13"/>
                <w:szCs w:val="13"/>
                <w:color w:val="auto"/>
              </w:rPr>
              <w:t>Total stockholders’ equity (deficit)</w:t>
            </w:r>
          </w:p>
        </w:tc>
        <w:tc>
          <w:tcPr>
            <w:tcW w:w="80" w:type="dxa"/>
            <w:vAlign w:val="bottom"/>
            <w:tcBorders>
              <w:bottom w:val="single" w:sz="8" w:color="B6B6B6"/>
            </w:tcBorders>
            <w:shd w:val="clear" w:color="auto" w:fill="B6B6B6"/>
          </w:tcPr>
          <w:p>
            <w:pPr>
              <w:spacing w:after="0"/>
              <w:rPr>
                <w:sz w:val="14"/>
                <w:szCs w:val="14"/>
                <w:color w:val="auto"/>
              </w:rPr>
            </w:pPr>
          </w:p>
        </w:tc>
        <w:tc>
          <w:tcPr>
            <w:tcW w:w="14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(6,908)</w:t>
            </w:r>
          </w:p>
        </w:tc>
        <w:tc>
          <w:tcPr>
            <w:tcW w:w="100" w:type="dxa"/>
            <w:vAlign w:val="bottom"/>
          </w:tcPr>
          <w:p>
            <w:pPr>
              <w:spacing w:after="0"/>
              <w:rPr>
                <w:sz w:val="14"/>
                <w:szCs w:val="14"/>
                <w:color w:val="auto"/>
              </w:rPr>
            </w:pPr>
          </w:p>
        </w:tc>
        <w:tc>
          <w:tcPr>
            <w:tcW w:w="14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405,438</w:t>
            </w:r>
          </w:p>
        </w:tc>
        <w:tc>
          <w:tcPr>
            <w:tcW w:w="0" w:type="dxa"/>
            <w:vAlign w:val="bottom"/>
          </w:tcPr>
          <w:p>
            <w:pPr>
              <w:spacing w:after="0"/>
              <w:rPr>
                <w:sz w:val="1"/>
                <w:szCs w:val="1"/>
                <w:color w:val="auto"/>
              </w:rPr>
            </w:pPr>
          </w:p>
        </w:tc>
      </w:tr>
      <w:tr>
        <w:trPr>
          <w:trHeight w:val="194"/>
        </w:trPr>
        <w:tc>
          <w:tcPr>
            <w:tcW w:w="8480" w:type="dxa"/>
            <w:vAlign w:val="bottom"/>
          </w:tcPr>
          <w:p>
            <w:pPr>
              <w:ind w:left="20"/>
              <w:spacing w:after="0"/>
              <w:rPr>
                <w:sz w:val="20"/>
                <w:szCs w:val="20"/>
                <w:color w:val="auto"/>
              </w:rPr>
            </w:pPr>
            <w:r>
              <w:rPr>
                <w:rFonts w:ascii="Arial" w:cs="Arial" w:eastAsia="Arial" w:hAnsi="Arial"/>
                <w:sz w:val="13"/>
                <w:szCs w:val="13"/>
                <w:b w:val="1"/>
                <w:bCs w:val="1"/>
                <w:color w:val="auto"/>
              </w:rPr>
              <w:t>Total liabilities, redeemable convertible preferred stock and stockholders’ equity (deficit)</w:t>
            </w:r>
          </w:p>
        </w:tc>
        <w:tc>
          <w:tcPr>
            <w:tcW w:w="80" w:type="dxa"/>
            <w:vAlign w:val="bottom"/>
            <w:tcBorders>
              <w:bottom w:val="single" w:sz="8" w:color="B6B6B6"/>
            </w:tcBorders>
            <w:shd w:val="clear" w:color="auto" w:fill="B6B6B6"/>
          </w:tcPr>
          <w:p>
            <w:pPr>
              <w:spacing w:after="0"/>
              <w:rPr>
                <w:sz w:val="16"/>
                <w:szCs w:val="16"/>
                <w:color w:val="auto"/>
              </w:rPr>
            </w:pPr>
          </w:p>
        </w:tc>
        <w:tc>
          <w:tcPr>
            <w:tcW w:w="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b w:val="1"/>
                <w:bCs w:val="1"/>
                <w:color w:val="auto"/>
              </w:rPr>
              <w:t>1,030,486</w:t>
            </w:r>
          </w:p>
        </w:tc>
        <w:tc>
          <w:tcPr>
            <w:tcW w:w="100" w:type="dxa"/>
            <w:vAlign w:val="bottom"/>
          </w:tcPr>
          <w:p>
            <w:pPr>
              <w:spacing w:after="0"/>
              <w:rPr>
                <w:sz w:val="16"/>
                <w:szCs w:val="16"/>
                <w:color w:val="auto"/>
              </w:rPr>
            </w:pPr>
          </w:p>
        </w:tc>
        <w:tc>
          <w:tcPr>
            <w:tcW w:w="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b w:val="1"/>
                <w:bCs w:val="1"/>
                <w:color w:val="auto"/>
              </w:rPr>
              <w:t>1,488,423</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8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following table sets forth our statements of cash flows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0" w:type="dxa"/>
            <w:vAlign w:val="bottom"/>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4"/>
          </w:tcPr>
          <w:p>
            <w:pPr>
              <w:jc w:val="right"/>
              <w:ind w:right="397"/>
              <w:spacing w:after="0"/>
              <w:rPr>
                <w:sz w:val="20"/>
                <w:szCs w:val="20"/>
                <w:color w:val="auto"/>
              </w:rPr>
            </w:pPr>
            <w:r>
              <w:rPr>
                <w:rFonts w:ascii="Arial" w:cs="Arial" w:eastAsia="Arial" w:hAnsi="Arial"/>
                <w:sz w:val="14"/>
                <w:szCs w:val="14"/>
                <w:color w:val="auto"/>
              </w:rPr>
              <w:t>Nine months ended Sep. 30,</w:t>
            </w:r>
          </w:p>
        </w:tc>
        <w:tc>
          <w:tcPr>
            <w:tcW w:w="0" w:type="dxa"/>
            <w:vAlign w:val="bottom"/>
          </w:tcPr>
          <w:p>
            <w:pPr>
              <w:spacing w:after="0"/>
              <w:rPr>
                <w:sz w:val="1"/>
                <w:szCs w:val="1"/>
                <w:color w:val="auto"/>
              </w:rPr>
            </w:pPr>
          </w:p>
        </w:tc>
      </w:tr>
      <w:tr>
        <w:trPr>
          <w:trHeight w:val="194"/>
        </w:trPr>
        <w:tc>
          <w:tcPr>
            <w:tcW w:w="840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929292"/>
            </w:tcBorders>
          </w:tcPr>
          <w:p>
            <w:pPr>
              <w:spacing w:after="0"/>
              <w:rPr>
                <w:sz w:val="16"/>
                <w:szCs w:val="16"/>
                <w:color w:val="auto"/>
              </w:rPr>
            </w:pPr>
          </w:p>
        </w:tc>
        <w:tc>
          <w:tcPr>
            <w:tcW w:w="1040" w:type="dxa"/>
            <w:vAlign w:val="bottom"/>
            <w:tcBorders>
              <w:bottom w:val="single" w:sz="8" w:color="929292"/>
            </w:tcBorders>
          </w:tcPr>
          <w:p>
            <w:pPr>
              <w:jc w:val="right"/>
              <w:ind w:right="437"/>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300" w:type="dxa"/>
            <w:vAlign w:val="bottom"/>
            <w:tcBorders>
              <w:bottom w:val="single" w:sz="8" w:color="929292"/>
            </w:tcBorders>
          </w:tcPr>
          <w:p>
            <w:pPr>
              <w:spacing w:after="0"/>
              <w:rPr>
                <w:sz w:val="16"/>
                <w:szCs w:val="16"/>
                <w:color w:val="auto"/>
              </w:rPr>
            </w:pPr>
          </w:p>
        </w:tc>
        <w:tc>
          <w:tcPr>
            <w:tcW w:w="1020" w:type="dxa"/>
            <w:vAlign w:val="bottom"/>
            <w:tcBorders>
              <w:bottom w:val="single" w:sz="8" w:color="929292"/>
            </w:tcBorders>
          </w:tcPr>
          <w:p>
            <w:pPr>
              <w:jc w:val="right"/>
              <w:ind w:right="437"/>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69"/>
        </w:trPr>
        <w:tc>
          <w:tcPr>
            <w:tcW w:w="8400" w:type="dxa"/>
            <w:vAlign w:val="bottom"/>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100" w:type="dxa"/>
            <w:vAlign w:val="bottom"/>
            <w:shd w:val="clear" w:color="auto" w:fill="B6B6B6"/>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4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B6B6B6"/>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(439,693)</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(65,294)</w:t>
            </w:r>
          </w:p>
        </w:tc>
        <w:tc>
          <w:tcPr>
            <w:tcW w:w="0" w:type="dxa"/>
            <w:vAlign w:val="bottom"/>
          </w:tcPr>
          <w:p>
            <w:pPr>
              <w:spacing w:after="0"/>
              <w:rPr>
                <w:sz w:val="1"/>
                <w:szCs w:val="1"/>
                <w:color w:val="auto"/>
              </w:rPr>
            </w:pPr>
          </w:p>
        </w:tc>
      </w:tr>
      <w:tr>
        <w:trPr>
          <w:trHeight w:val="175"/>
        </w:trPr>
        <w:tc>
          <w:tcPr>
            <w:tcW w:w="8400" w:type="dxa"/>
            <w:vAlign w:val="bottom"/>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6,164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6,534</w:t>
            </w:r>
          </w:p>
        </w:tc>
        <w:tc>
          <w:tcPr>
            <w:tcW w:w="0" w:type="dxa"/>
            <w:vAlign w:val="bottom"/>
          </w:tcPr>
          <w:p>
            <w:pPr>
              <w:spacing w:after="0"/>
              <w:rPr>
                <w:sz w:val="1"/>
                <w:szCs w:val="1"/>
                <w:color w:val="auto"/>
              </w:rPr>
            </w:pPr>
          </w:p>
        </w:tc>
      </w:tr>
      <w:tr>
        <w:trPr>
          <w:trHeight w:val="176"/>
        </w:trPr>
        <w:tc>
          <w:tcPr>
            <w:tcW w:w="8400" w:type="dxa"/>
            <w:vAlign w:val="bottom"/>
          </w:tcPr>
          <w:p>
            <w:pPr>
              <w:ind w:left="24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9,154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8,420</w:t>
            </w:r>
          </w:p>
        </w:tc>
        <w:tc>
          <w:tcPr>
            <w:tcW w:w="0" w:type="dxa"/>
            <w:vAlign w:val="bottom"/>
          </w:tcPr>
          <w:p>
            <w:pPr>
              <w:spacing w:after="0"/>
              <w:rPr>
                <w:sz w:val="1"/>
                <w:szCs w:val="1"/>
                <w:color w:val="auto"/>
              </w:rPr>
            </w:pPr>
          </w:p>
        </w:tc>
      </w:tr>
      <w:tr>
        <w:trPr>
          <w:trHeight w:val="175"/>
        </w:trPr>
        <w:tc>
          <w:tcPr>
            <w:tcW w:w="840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70,542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70,542</w:t>
            </w:r>
          </w:p>
        </w:tc>
        <w:tc>
          <w:tcPr>
            <w:tcW w:w="0" w:type="dxa"/>
            <w:vAlign w:val="bottom"/>
          </w:tcPr>
          <w:p>
            <w:pPr>
              <w:spacing w:after="0"/>
              <w:rPr>
                <w:sz w:val="1"/>
                <w:szCs w:val="1"/>
                <w:color w:val="auto"/>
              </w:rPr>
            </w:pPr>
          </w:p>
        </w:tc>
      </w:tr>
      <w:tr>
        <w:trPr>
          <w:trHeight w:val="176"/>
        </w:trPr>
        <w:tc>
          <w:tcPr>
            <w:tcW w:w="8400" w:type="dxa"/>
            <w:vAlign w:val="bottom"/>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4,687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7,319</w:t>
            </w:r>
          </w:p>
        </w:tc>
        <w:tc>
          <w:tcPr>
            <w:tcW w:w="0" w:type="dxa"/>
            <w:vAlign w:val="bottom"/>
          </w:tcPr>
          <w:p>
            <w:pPr>
              <w:spacing w:after="0"/>
              <w:rPr>
                <w:sz w:val="1"/>
                <w:szCs w:val="1"/>
                <w:color w:val="auto"/>
              </w:rPr>
            </w:pPr>
          </w:p>
        </w:tc>
      </w:tr>
      <w:tr>
        <w:trPr>
          <w:trHeight w:val="175"/>
        </w:trPr>
        <w:tc>
          <w:tcPr>
            <w:tcW w:w="8400" w:type="dxa"/>
            <w:vAlign w:val="bottom"/>
          </w:tcPr>
          <w:p>
            <w:pPr>
              <w:ind w:left="240"/>
              <w:spacing w:after="0"/>
              <w:rPr>
                <w:sz w:val="20"/>
                <w:szCs w:val="20"/>
                <w:color w:val="auto"/>
              </w:rPr>
            </w:pPr>
            <w:r>
              <w:rPr>
                <w:rFonts w:ascii="Arial" w:cs="Arial" w:eastAsia="Arial" w:hAnsi="Arial"/>
                <w:sz w:val="13"/>
                <w:szCs w:val="13"/>
                <w:color w:val="auto"/>
              </w:rPr>
              <w:t>Deferred tax liability</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403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400" w:type="dxa"/>
            <w:vAlign w:val="bottom"/>
          </w:tcPr>
          <w:p>
            <w:pPr>
              <w:ind w:left="240"/>
              <w:spacing w:after="0"/>
              <w:rPr>
                <w:sz w:val="20"/>
                <w:szCs w:val="20"/>
                <w:color w:val="auto"/>
              </w:rPr>
            </w:pPr>
            <w:r>
              <w:rPr>
                <w:rFonts w:ascii="Arial" w:cs="Arial" w:eastAsia="Arial" w:hAnsi="Arial"/>
                <w:sz w:val="13"/>
                <w:szCs w:val="13"/>
                <w:color w:val="auto"/>
              </w:rPr>
              <w:t>Non-cash lease expense</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2,459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2,907</w:t>
            </w:r>
          </w:p>
        </w:tc>
        <w:tc>
          <w:tcPr>
            <w:tcW w:w="0" w:type="dxa"/>
            <w:vAlign w:val="bottom"/>
          </w:tcPr>
          <w:p>
            <w:pPr>
              <w:spacing w:after="0"/>
              <w:rPr>
                <w:sz w:val="1"/>
                <w:szCs w:val="1"/>
                <w:color w:val="auto"/>
              </w:rPr>
            </w:pPr>
          </w:p>
        </w:tc>
      </w:tr>
      <w:tr>
        <w:trPr>
          <w:trHeight w:val="175"/>
        </w:trPr>
        <w:tc>
          <w:tcPr>
            <w:tcW w:w="8400" w:type="dxa"/>
            <w:vAlign w:val="bottom"/>
          </w:tcPr>
          <w:p>
            <w:pPr>
              <w:ind w:left="240"/>
              <w:spacing w:after="0"/>
              <w:rPr>
                <w:sz w:val="20"/>
                <w:szCs w:val="20"/>
                <w:color w:val="auto"/>
              </w:rPr>
            </w:pPr>
            <w:r>
              <w:rPr>
                <w:rFonts w:ascii="Arial" w:cs="Arial" w:eastAsia="Arial" w:hAnsi="Arial"/>
                <w:sz w:val="13"/>
                <w:szCs w:val="13"/>
                <w:color w:val="auto"/>
              </w:rPr>
              <w:t>Other non-cash items</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(346)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76"/>
        </w:trPr>
        <w:tc>
          <w:tcPr>
            <w:tcW w:w="8400" w:type="dxa"/>
            <w:vAlign w:val="bottom"/>
          </w:tcPr>
          <w:p>
            <w:pPr>
              <w:ind w:left="240"/>
              <w:spacing w:after="0"/>
              <w:rPr>
                <w:sz w:val="20"/>
                <w:szCs w:val="20"/>
                <w:color w:val="auto"/>
              </w:rPr>
            </w:pPr>
            <w:r>
              <w:rPr>
                <w:rFonts w:ascii="Arial" w:cs="Arial" w:eastAsia="Arial" w:hAnsi="Arial"/>
                <w:sz w:val="13"/>
                <w:szCs w:val="13"/>
                <w:color w:val="auto"/>
              </w:rPr>
              <w:t>Accrued interest payable in kind</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27,322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400" w:type="dxa"/>
            <w:vAlign w:val="bottom"/>
          </w:tcPr>
          <w:p>
            <w:pPr>
              <w:ind w:left="240"/>
              <w:spacing w:after="0"/>
              <w:rPr>
                <w:sz w:val="20"/>
                <w:szCs w:val="20"/>
                <w:color w:val="auto"/>
              </w:rPr>
            </w:pPr>
            <w:r>
              <w:rPr>
                <w:rFonts w:ascii="Arial" w:cs="Arial" w:eastAsia="Arial" w:hAnsi="Arial"/>
                <w:sz w:val="13"/>
                <w:szCs w:val="13"/>
                <w:color w:val="auto"/>
              </w:rPr>
              <w:t>Loss on extinguishment of debt</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1,655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400" w:type="dxa"/>
            <w:vAlign w:val="bottom"/>
          </w:tcPr>
          <w:p>
            <w:pPr>
              <w:ind w:left="240"/>
              <w:spacing w:after="0"/>
              <w:rPr>
                <w:sz w:val="20"/>
                <w:szCs w:val="20"/>
                <w:color w:val="auto"/>
              </w:rPr>
            </w:pPr>
            <w:r>
              <w:rPr>
                <w:rFonts w:ascii="Arial" w:cs="Arial" w:eastAsia="Arial" w:hAnsi="Arial"/>
                <w:sz w:val="13"/>
                <w:szCs w:val="13"/>
                <w:color w:val="auto"/>
              </w:rPr>
              <w:t>Indefinite and long-lived asset impairment charges</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259,961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400" w:type="dxa"/>
            <w:vAlign w:val="bottom"/>
          </w:tcPr>
          <w:p>
            <w:pPr>
              <w:ind w:left="240"/>
              <w:spacing w:after="0"/>
              <w:rPr>
                <w:sz w:val="20"/>
                <w:szCs w:val="20"/>
                <w:color w:val="auto"/>
              </w:rPr>
            </w:pPr>
            <w:r>
              <w:rPr>
                <w:rFonts w:ascii="Arial" w:cs="Arial" w:eastAsia="Arial" w:hAnsi="Arial"/>
                <w:sz w:val="13"/>
                <w:szCs w:val="13"/>
                <w:color w:val="auto"/>
              </w:rPr>
              <w:t>Gain on bargain purchase</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(77,363)</w:t>
            </w:r>
          </w:p>
        </w:tc>
        <w:tc>
          <w:tcPr>
            <w:tcW w:w="0" w:type="dxa"/>
            <w:vAlign w:val="bottom"/>
          </w:tcPr>
          <w:p>
            <w:pPr>
              <w:spacing w:after="0"/>
              <w:rPr>
                <w:sz w:val="1"/>
                <w:szCs w:val="1"/>
                <w:color w:val="auto"/>
              </w:rPr>
            </w:pPr>
          </w:p>
        </w:tc>
      </w:tr>
      <w:tr>
        <w:trPr>
          <w:trHeight w:val="175"/>
        </w:trPr>
        <w:tc>
          <w:tcPr>
            <w:tcW w:w="8400" w:type="dxa"/>
            <w:vAlign w:val="bottom"/>
          </w:tcPr>
          <w:p>
            <w:pPr>
              <w:ind w:left="240"/>
              <w:spacing w:after="0"/>
              <w:rPr>
                <w:sz w:val="20"/>
                <w:szCs w:val="20"/>
                <w:color w:val="auto"/>
              </w:rPr>
            </w:pPr>
            <w:r>
              <w:rPr>
                <w:rFonts w:ascii="Arial" w:cs="Arial" w:eastAsia="Arial" w:hAnsi="Arial"/>
                <w:sz w:val="13"/>
                <w:szCs w:val="13"/>
                <w:i w:val="1"/>
                <w:iCs w:val="1"/>
                <w:color w:val="auto"/>
              </w:rPr>
              <w:t>Changes in assets and liabilities:</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0" w:type="dxa"/>
            <w:vAlign w:val="bottom"/>
          </w:tcPr>
          <w:p>
            <w:pPr>
              <w:ind w:left="460"/>
              <w:spacing w:after="0"/>
              <w:rPr>
                <w:sz w:val="20"/>
                <w:szCs w:val="20"/>
                <w:color w:val="auto"/>
              </w:rPr>
            </w:pPr>
            <w:r>
              <w:rPr>
                <w:rFonts w:ascii="Arial" w:cs="Arial" w:eastAsia="Arial" w:hAnsi="Arial"/>
                <w:sz w:val="13"/>
                <w:szCs w:val="13"/>
                <w:color w:val="auto"/>
              </w:rPr>
              <w:t>Accounts receivable</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4,450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(4,578)</w:t>
            </w:r>
          </w:p>
        </w:tc>
        <w:tc>
          <w:tcPr>
            <w:tcW w:w="0" w:type="dxa"/>
            <w:vAlign w:val="bottom"/>
          </w:tcPr>
          <w:p>
            <w:pPr>
              <w:spacing w:after="0"/>
              <w:rPr>
                <w:sz w:val="1"/>
                <w:szCs w:val="1"/>
                <w:color w:val="auto"/>
              </w:rPr>
            </w:pPr>
          </w:p>
        </w:tc>
      </w:tr>
      <w:tr>
        <w:trPr>
          <w:trHeight w:val="176"/>
        </w:trPr>
        <w:tc>
          <w:tcPr>
            <w:tcW w:w="8400" w:type="dxa"/>
            <w:vAlign w:val="bottom"/>
          </w:tcPr>
          <w:p>
            <w:pPr>
              <w:ind w:left="460"/>
              <w:spacing w:after="0"/>
              <w:rPr>
                <w:sz w:val="20"/>
                <w:szCs w:val="20"/>
                <w:color w:val="auto"/>
              </w:rPr>
            </w:pPr>
            <w:r>
              <w:rPr>
                <w:rFonts w:ascii="Arial" w:cs="Arial" w:eastAsia="Arial" w:hAnsi="Arial"/>
                <w:sz w:val="13"/>
                <w:szCs w:val="13"/>
                <w:color w:val="auto"/>
              </w:rPr>
              <w:t>Commissions receivable</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89,598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104,570</w:t>
            </w:r>
          </w:p>
        </w:tc>
        <w:tc>
          <w:tcPr>
            <w:tcW w:w="0" w:type="dxa"/>
            <w:vAlign w:val="bottom"/>
          </w:tcPr>
          <w:p>
            <w:pPr>
              <w:spacing w:after="0"/>
              <w:rPr>
                <w:sz w:val="1"/>
                <w:szCs w:val="1"/>
                <w:color w:val="auto"/>
              </w:rPr>
            </w:pPr>
          </w:p>
        </w:tc>
      </w:tr>
      <w:tr>
        <w:trPr>
          <w:trHeight w:val="175"/>
        </w:trPr>
        <w:tc>
          <w:tcPr>
            <w:tcW w:w="8400" w:type="dxa"/>
            <w:vAlign w:val="bottom"/>
          </w:tcPr>
          <w:p>
            <w:pPr>
              <w:ind w:left="460"/>
              <w:spacing w:after="0"/>
              <w:rPr>
                <w:sz w:val="20"/>
                <w:szCs w:val="20"/>
                <w:color w:val="auto"/>
              </w:rPr>
            </w:pPr>
            <w:r>
              <w:rPr>
                <w:rFonts w:ascii="Arial" w:cs="Arial" w:eastAsia="Arial" w:hAnsi="Arial"/>
                <w:sz w:val="13"/>
                <w:szCs w:val="13"/>
                <w:color w:val="auto"/>
              </w:rPr>
              <w:t>Prepaid expenses and other assets</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18,327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28,644</w:t>
            </w:r>
          </w:p>
        </w:tc>
        <w:tc>
          <w:tcPr>
            <w:tcW w:w="0" w:type="dxa"/>
            <w:vAlign w:val="bottom"/>
          </w:tcPr>
          <w:p>
            <w:pPr>
              <w:spacing w:after="0"/>
              <w:rPr>
                <w:sz w:val="1"/>
                <w:szCs w:val="1"/>
                <w:color w:val="auto"/>
              </w:rPr>
            </w:pPr>
          </w:p>
        </w:tc>
      </w:tr>
      <w:tr>
        <w:trPr>
          <w:trHeight w:val="176"/>
        </w:trPr>
        <w:tc>
          <w:tcPr>
            <w:tcW w:w="8400" w:type="dxa"/>
            <w:vAlign w:val="bottom"/>
          </w:tcPr>
          <w:p>
            <w:pPr>
              <w:ind w:left="46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(2,739)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(4,268)</w:t>
            </w:r>
          </w:p>
        </w:tc>
        <w:tc>
          <w:tcPr>
            <w:tcW w:w="0" w:type="dxa"/>
            <w:vAlign w:val="bottom"/>
          </w:tcPr>
          <w:p>
            <w:pPr>
              <w:spacing w:after="0"/>
              <w:rPr>
                <w:sz w:val="1"/>
                <w:szCs w:val="1"/>
                <w:color w:val="auto"/>
              </w:rPr>
            </w:pPr>
          </w:p>
        </w:tc>
      </w:tr>
      <w:tr>
        <w:trPr>
          <w:trHeight w:val="175"/>
        </w:trPr>
        <w:tc>
          <w:tcPr>
            <w:tcW w:w="8400" w:type="dxa"/>
            <w:vAlign w:val="bottom"/>
          </w:tcPr>
          <w:p>
            <w:pPr>
              <w:ind w:left="460"/>
              <w:spacing w:after="0"/>
              <w:rPr>
                <w:sz w:val="20"/>
                <w:szCs w:val="20"/>
                <w:color w:val="auto"/>
              </w:rPr>
            </w:pPr>
            <w:r>
              <w:rPr>
                <w:rFonts w:ascii="Arial" w:cs="Arial" w:eastAsia="Arial" w:hAnsi="Arial"/>
                <w:sz w:val="13"/>
                <w:szCs w:val="13"/>
                <w:color w:val="auto"/>
              </w:rPr>
              <w:t>Accrued liabilities</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(60,383)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(44,227)</w:t>
            </w:r>
          </w:p>
        </w:tc>
        <w:tc>
          <w:tcPr>
            <w:tcW w:w="0" w:type="dxa"/>
            <w:vAlign w:val="bottom"/>
          </w:tcPr>
          <w:p>
            <w:pPr>
              <w:spacing w:after="0"/>
              <w:rPr>
                <w:sz w:val="1"/>
                <w:szCs w:val="1"/>
                <w:color w:val="auto"/>
              </w:rPr>
            </w:pPr>
          </w:p>
        </w:tc>
      </w:tr>
      <w:tr>
        <w:trPr>
          <w:trHeight w:val="176"/>
        </w:trPr>
        <w:tc>
          <w:tcPr>
            <w:tcW w:w="8400" w:type="dxa"/>
            <w:vAlign w:val="bottom"/>
          </w:tcPr>
          <w:p>
            <w:pPr>
              <w:ind w:left="460"/>
              <w:spacing w:after="0"/>
              <w:rPr>
                <w:sz w:val="20"/>
                <w:szCs w:val="20"/>
                <w:color w:val="auto"/>
              </w:rPr>
            </w:pPr>
            <w:r>
              <w:rPr>
                <w:rFonts w:ascii="Arial" w:cs="Arial" w:eastAsia="Arial" w:hAnsi="Arial"/>
                <w:sz w:val="13"/>
                <w:szCs w:val="13"/>
                <w:color w:val="auto"/>
              </w:rPr>
              <w:t>Deferred revenue</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(24,526)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(9,708)</w:t>
            </w:r>
          </w:p>
        </w:tc>
        <w:tc>
          <w:tcPr>
            <w:tcW w:w="0" w:type="dxa"/>
            <w:vAlign w:val="bottom"/>
          </w:tcPr>
          <w:p>
            <w:pPr>
              <w:spacing w:after="0"/>
              <w:rPr>
                <w:sz w:val="1"/>
                <w:szCs w:val="1"/>
                <w:color w:val="auto"/>
              </w:rPr>
            </w:pPr>
          </w:p>
        </w:tc>
      </w:tr>
      <w:tr>
        <w:trPr>
          <w:trHeight w:val="175"/>
        </w:trPr>
        <w:tc>
          <w:tcPr>
            <w:tcW w:w="8400" w:type="dxa"/>
            <w:vAlign w:val="bottom"/>
          </w:tcPr>
          <w:p>
            <w:pPr>
              <w:ind w:left="460"/>
              <w:spacing w:after="0"/>
              <w:rPr>
                <w:sz w:val="20"/>
                <w:szCs w:val="20"/>
                <w:color w:val="auto"/>
              </w:rPr>
            </w:pPr>
            <w:r>
              <w:rPr>
                <w:rFonts w:ascii="Arial" w:cs="Arial" w:eastAsia="Arial" w:hAnsi="Arial"/>
                <w:sz w:val="13"/>
                <w:szCs w:val="13"/>
                <w:color w:val="auto"/>
              </w:rPr>
              <w:t>Commissions payable</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(42,291)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(44,735)</w:t>
            </w:r>
          </w:p>
        </w:tc>
        <w:tc>
          <w:tcPr>
            <w:tcW w:w="0" w:type="dxa"/>
            <w:vAlign w:val="bottom"/>
          </w:tcPr>
          <w:p>
            <w:pPr>
              <w:spacing w:after="0"/>
              <w:rPr>
                <w:sz w:val="1"/>
                <w:szCs w:val="1"/>
                <w:color w:val="auto"/>
              </w:rPr>
            </w:pPr>
          </w:p>
        </w:tc>
      </w:tr>
      <w:tr>
        <w:trPr>
          <w:trHeight w:val="176"/>
        </w:trPr>
        <w:tc>
          <w:tcPr>
            <w:tcW w:w="8400" w:type="dxa"/>
            <w:vAlign w:val="bottom"/>
          </w:tcPr>
          <w:p>
            <w:pPr>
              <w:ind w:left="460"/>
              <w:spacing w:after="0"/>
              <w:rPr>
                <w:sz w:val="20"/>
                <w:szCs w:val="20"/>
                <w:color w:val="auto"/>
              </w:rPr>
            </w:pPr>
            <w:r>
              <w:rPr>
                <w:rFonts w:ascii="Arial" w:cs="Arial" w:eastAsia="Arial" w:hAnsi="Arial"/>
                <w:sz w:val="13"/>
                <w:szCs w:val="13"/>
                <w:color w:val="auto"/>
              </w:rPr>
              <w:t>Operating lease liabilities</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(3,874)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(4,976)</w:t>
            </w:r>
          </w:p>
        </w:tc>
        <w:tc>
          <w:tcPr>
            <w:tcW w:w="0" w:type="dxa"/>
            <w:vAlign w:val="bottom"/>
          </w:tcPr>
          <w:p>
            <w:pPr>
              <w:spacing w:after="0"/>
              <w:rPr>
                <w:sz w:val="1"/>
                <w:szCs w:val="1"/>
                <w:color w:val="auto"/>
              </w:rPr>
            </w:pPr>
          </w:p>
        </w:tc>
      </w:tr>
      <w:tr>
        <w:trPr>
          <w:trHeight w:val="183"/>
        </w:trPr>
        <w:tc>
          <w:tcPr>
            <w:tcW w:w="8400" w:type="dxa"/>
            <w:vAlign w:val="bottom"/>
          </w:tcPr>
          <w:p>
            <w:pPr>
              <w:ind w:left="460"/>
              <w:spacing w:after="0"/>
              <w:rPr>
                <w:sz w:val="20"/>
                <w:szCs w:val="20"/>
                <w:color w:val="auto"/>
              </w:rPr>
            </w:pPr>
            <w:r>
              <w:rPr>
                <w:rFonts w:ascii="Arial" w:cs="Arial" w:eastAsia="Arial" w:hAnsi="Arial"/>
                <w:sz w:val="13"/>
                <w:szCs w:val="13"/>
                <w:color w:val="auto"/>
              </w:rPr>
              <w:t>Other liabilities</w:t>
            </w:r>
          </w:p>
        </w:tc>
        <w:tc>
          <w:tcPr>
            <w:tcW w:w="100" w:type="dxa"/>
            <w:vAlign w:val="bottom"/>
            <w:tcBorders>
              <w:bottom w:val="single" w:sz="8" w:color="B6B6B6"/>
            </w:tcBorders>
            <w:shd w:val="clear" w:color="auto" w:fill="B6B6B6"/>
          </w:tcPr>
          <w:p>
            <w:pPr>
              <w:spacing w:after="0"/>
              <w:rPr>
                <w:sz w:val="15"/>
                <w:szCs w:val="15"/>
                <w:color w:val="auto"/>
              </w:rPr>
            </w:pPr>
          </w:p>
        </w:tc>
        <w:tc>
          <w:tcPr>
            <w:tcW w:w="280" w:type="dxa"/>
            <w:vAlign w:val="bottom"/>
            <w:tcBorders>
              <w:bottom w:val="single" w:sz="8" w:color="929292"/>
            </w:tcBorders>
          </w:tcPr>
          <w:p>
            <w:pPr>
              <w:spacing w:after="0"/>
              <w:rPr>
                <w:sz w:val="15"/>
                <w:szCs w:val="15"/>
                <w:color w:val="auto"/>
              </w:rPr>
            </w:pP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(3,743)</w:t>
            </w:r>
          </w:p>
        </w:tc>
        <w:tc>
          <w:tcPr>
            <w:tcW w:w="100" w:type="dxa"/>
            <w:vAlign w:val="bottom"/>
          </w:tcPr>
          <w:p>
            <w:pPr>
              <w:spacing w:after="0"/>
              <w:rPr>
                <w:sz w:val="15"/>
                <w:szCs w:val="15"/>
                <w:color w:val="auto"/>
              </w:rPr>
            </w:pPr>
          </w:p>
        </w:tc>
        <w:tc>
          <w:tcPr>
            <w:tcW w:w="300" w:type="dxa"/>
            <w:vAlign w:val="bottom"/>
            <w:tcBorders>
              <w:bottom w:val="single" w:sz="8" w:color="929292"/>
            </w:tcBorders>
          </w:tcPr>
          <w:p>
            <w:pPr>
              <w:spacing w:after="0"/>
              <w:rPr>
                <w:sz w:val="15"/>
                <w:szCs w:val="15"/>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(9,900)</w:t>
            </w:r>
          </w:p>
        </w:tc>
        <w:tc>
          <w:tcPr>
            <w:tcW w:w="0" w:type="dxa"/>
            <w:vAlign w:val="bottom"/>
          </w:tcPr>
          <w:p>
            <w:pPr>
              <w:spacing w:after="0"/>
              <w:rPr>
                <w:sz w:val="1"/>
                <w:szCs w:val="1"/>
                <w:color w:val="auto"/>
              </w:rPr>
            </w:pPr>
          </w:p>
        </w:tc>
      </w:tr>
      <w:tr>
        <w:trPr>
          <w:trHeight w:val="169"/>
        </w:trPr>
        <w:tc>
          <w:tcPr>
            <w:tcW w:w="8400" w:type="dxa"/>
            <w:vAlign w:val="bottom"/>
          </w:tcPr>
          <w:p>
            <w:pPr>
              <w:ind w:left="20"/>
              <w:spacing w:after="0" w:line="148" w:lineRule="exact"/>
              <w:rPr>
                <w:sz w:val="20"/>
                <w:szCs w:val="20"/>
                <w:color w:val="auto"/>
              </w:rPr>
            </w:pPr>
            <w:r>
              <w:rPr>
                <w:rFonts w:ascii="Arial" w:cs="Arial" w:eastAsia="Arial" w:hAnsi="Arial"/>
                <w:sz w:val="13"/>
                <w:szCs w:val="13"/>
                <w:color w:val="auto"/>
              </w:rPr>
              <w:t>Net cash provided by (used in) operating activities</w:t>
            </w:r>
          </w:p>
        </w:tc>
        <w:tc>
          <w:tcPr>
            <w:tcW w:w="100" w:type="dxa"/>
            <w:vAlign w:val="bottom"/>
            <w:tcBorders>
              <w:bottom w:val="single" w:sz="8" w:color="B6B6B6"/>
            </w:tcBorders>
            <w:shd w:val="clear" w:color="auto" w:fill="B6B6B6"/>
          </w:tcPr>
          <w:p>
            <w:pPr>
              <w:spacing w:after="0"/>
              <w:rPr>
                <w:sz w:val="14"/>
                <w:szCs w:val="14"/>
                <w:color w:val="auto"/>
              </w:rPr>
            </w:pPr>
          </w:p>
        </w:tc>
        <w:tc>
          <w:tcPr>
            <w:tcW w:w="280" w:type="dxa"/>
            <w:vAlign w:val="bottom"/>
            <w:tcBorders>
              <w:bottom w:val="single" w:sz="8" w:color="929292"/>
            </w:tcBorders>
          </w:tcPr>
          <w:p>
            <w:pPr>
              <w:spacing w:after="0"/>
              <w:rPr>
                <w:sz w:val="14"/>
                <w:szCs w:val="14"/>
                <w:color w:val="auto"/>
              </w:rPr>
            </w:pP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(82,873)</w:t>
            </w:r>
          </w:p>
        </w:tc>
        <w:tc>
          <w:tcPr>
            <w:tcW w:w="100" w:type="dxa"/>
            <w:vAlign w:val="bottom"/>
          </w:tcPr>
          <w:p>
            <w:pPr>
              <w:spacing w:after="0"/>
              <w:rPr>
                <w:sz w:val="14"/>
                <w:szCs w:val="14"/>
                <w:color w:val="auto"/>
              </w:rPr>
            </w:pPr>
          </w:p>
        </w:tc>
        <w:tc>
          <w:tcPr>
            <w:tcW w:w="300" w:type="dxa"/>
            <w:vAlign w:val="bottom"/>
            <w:tcBorders>
              <w:bottom w:val="single" w:sz="8" w:color="929292"/>
            </w:tcBorders>
          </w:tcPr>
          <w:p>
            <w:pPr>
              <w:spacing w:after="0"/>
              <w:rPr>
                <w:sz w:val="14"/>
                <w:szCs w:val="14"/>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(36,211)</w:t>
            </w:r>
          </w:p>
        </w:tc>
        <w:tc>
          <w:tcPr>
            <w:tcW w:w="0" w:type="dxa"/>
            <w:vAlign w:val="bottom"/>
          </w:tcPr>
          <w:p>
            <w:pPr>
              <w:spacing w:after="0"/>
              <w:rPr>
                <w:sz w:val="1"/>
                <w:szCs w:val="1"/>
                <w:color w:val="auto"/>
              </w:rPr>
            </w:pPr>
          </w:p>
        </w:tc>
      </w:tr>
      <w:tr>
        <w:trPr>
          <w:trHeight w:val="154"/>
        </w:trPr>
        <w:tc>
          <w:tcPr>
            <w:tcW w:w="840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100" w:type="dxa"/>
            <w:vAlign w:val="bottom"/>
            <w:shd w:val="clear" w:color="auto" w:fill="B6B6B6"/>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400" w:type="dxa"/>
            <w:vAlign w:val="bottom"/>
          </w:tcPr>
          <w:p>
            <w:pPr>
              <w:ind w:left="140"/>
              <w:spacing w:after="0"/>
              <w:rPr>
                <w:sz w:val="20"/>
                <w:szCs w:val="20"/>
                <w:color w:val="auto"/>
              </w:rPr>
            </w:pPr>
            <w:r>
              <w:rPr>
                <w:rFonts w:ascii="Arial" w:cs="Arial" w:eastAsia="Arial" w:hAnsi="Arial"/>
                <w:sz w:val="13"/>
                <w:szCs w:val="13"/>
                <w:color w:val="auto"/>
              </w:rPr>
              <w:t>Acquisition of business, net</w:t>
            </w:r>
          </w:p>
        </w:tc>
        <w:tc>
          <w:tcPr>
            <w:tcW w:w="100" w:type="dxa"/>
            <w:vAlign w:val="bottom"/>
            <w:shd w:val="clear" w:color="auto" w:fill="B6B6B6"/>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17,536</w:t>
            </w:r>
          </w:p>
        </w:tc>
        <w:tc>
          <w:tcPr>
            <w:tcW w:w="0" w:type="dxa"/>
            <w:vAlign w:val="bottom"/>
          </w:tcPr>
          <w:p>
            <w:pPr>
              <w:spacing w:after="0"/>
              <w:rPr>
                <w:sz w:val="1"/>
                <w:szCs w:val="1"/>
                <w:color w:val="auto"/>
              </w:rPr>
            </w:pPr>
          </w:p>
        </w:tc>
      </w:tr>
      <w:tr>
        <w:trPr>
          <w:trHeight w:val="183"/>
        </w:trPr>
        <w:tc>
          <w:tcPr>
            <w:tcW w:w="8400" w:type="dxa"/>
            <w:vAlign w:val="bottom"/>
          </w:tcPr>
          <w:p>
            <w:pPr>
              <w:ind w:left="140"/>
              <w:spacing w:after="0"/>
              <w:rPr>
                <w:sz w:val="20"/>
                <w:szCs w:val="20"/>
                <w:color w:val="auto"/>
              </w:rPr>
            </w:pPr>
            <w:r>
              <w:rPr>
                <w:rFonts w:ascii="Arial" w:cs="Arial" w:eastAsia="Arial" w:hAnsi="Arial"/>
                <w:sz w:val="13"/>
                <w:szCs w:val="13"/>
                <w:color w:val="auto"/>
              </w:rPr>
              <w:t>Purchases of property, equipment and software</w:t>
            </w:r>
          </w:p>
        </w:tc>
        <w:tc>
          <w:tcPr>
            <w:tcW w:w="100" w:type="dxa"/>
            <w:vAlign w:val="bottom"/>
            <w:tcBorders>
              <w:bottom w:val="single" w:sz="8" w:color="B6B6B6"/>
            </w:tcBorders>
            <w:shd w:val="clear" w:color="auto" w:fill="B6B6B6"/>
          </w:tcPr>
          <w:p>
            <w:pPr>
              <w:spacing w:after="0"/>
              <w:rPr>
                <w:sz w:val="15"/>
                <w:szCs w:val="15"/>
                <w:color w:val="auto"/>
              </w:rPr>
            </w:pPr>
          </w:p>
        </w:tc>
        <w:tc>
          <w:tcPr>
            <w:tcW w:w="280" w:type="dxa"/>
            <w:vAlign w:val="bottom"/>
            <w:tcBorders>
              <w:bottom w:val="single" w:sz="8" w:color="929292"/>
            </w:tcBorders>
          </w:tcPr>
          <w:p>
            <w:pPr>
              <w:spacing w:after="0"/>
              <w:rPr>
                <w:sz w:val="15"/>
                <w:szCs w:val="15"/>
                <w:color w:val="auto"/>
              </w:rPr>
            </w:pP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(8,248)</w:t>
            </w:r>
          </w:p>
        </w:tc>
        <w:tc>
          <w:tcPr>
            <w:tcW w:w="100" w:type="dxa"/>
            <w:vAlign w:val="bottom"/>
          </w:tcPr>
          <w:p>
            <w:pPr>
              <w:spacing w:after="0"/>
              <w:rPr>
                <w:sz w:val="15"/>
                <w:szCs w:val="15"/>
                <w:color w:val="auto"/>
              </w:rPr>
            </w:pPr>
          </w:p>
        </w:tc>
        <w:tc>
          <w:tcPr>
            <w:tcW w:w="300" w:type="dxa"/>
            <w:vAlign w:val="bottom"/>
            <w:tcBorders>
              <w:bottom w:val="single" w:sz="8" w:color="929292"/>
            </w:tcBorders>
          </w:tcPr>
          <w:p>
            <w:pPr>
              <w:spacing w:after="0"/>
              <w:rPr>
                <w:sz w:val="15"/>
                <w:szCs w:val="15"/>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(11,511)</w:t>
            </w:r>
          </w:p>
        </w:tc>
        <w:tc>
          <w:tcPr>
            <w:tcW w:w="0" w:type="dxa"/>
            <w:vAlign w:val="bottom"/>
          </w:tcPr>
          <w:p>
            <w:pPr>
              <w:spacing w:after="0"/>
              <w:rPr>
                <w:sz w:val="1"/>
                <w:szCs w:val="1"/>
                <w:color w:val="auto"/>
              </w:rPr>
            </w:pPr>
          </w:p>
        </w:tc>
      </w:tr>
      <w:tr>
        <w:trPr>
          <w:trHeight w:val="169"/>
        </w:trPr>
        <w:tc>
          <w:tcPr>
            <w:tcW w:w="8400" w:type="dxa"/>
            <w:vAlign w:val="bottom"/>
          </w:tcPr>
          <w:p>
            <w:pPr>
              <w:ind w:left="20"/>
              <w:spacing w:after="0" w:line="148" w:lineRule="exact"/>
              <w:rPr>
                <w:sz w:val="20"/>
                <w:szCs w:val="20"/>
                <w:color w:val="auto"/>
              </w:rPr>
            </w:pPr>
            <w:r>
              <w:rPr>
                <w:rFonts w:ascii="Arial" w:cs="Arial" w:eastAsia="Arial" w:hAnsi="Arial"/>
                <w:sz w:val="13"/>
                <w:szCs w:val="13"/>
                <w:color w:val="auto"/>
              </w:rPr>
              <w:t>Net cash provided by (used in) investing activities</w:t>
            </w:r>
          </w:p>
        </w:tc>
        <w:tc>
          <w:tcPr>
            <w:tcW w:w="100" w:type="dxa"/>
            <w:vAlign w:val="bottom"/>
            <w:tcBorders>
              <w:bottom w:val="single" w:sz="8" w:color="B6B6B6"/>
            </w:tcBorders>
            <w:shd w:val="clear" w:color="auto" w:fill="B6B6B6"/>
          </w:tcPr>
          <w:p>
            <w:pPr>
              <w:spacing w:after="0"/>
              <w:rPr>
                <w:sz w:val="14"/>
                <w:szCs w:val="14"/>
                <w:color w:val="auto"/>
              </w:rPr>
            </w:pPr>
          </w:p>
        </w:tc>
        <w:tc>
          <w:tcPr>
            <w:tcW w:w="280" w:type="dxa"/>
            <w:vAlign w:val="bottom"/>
            <w:tcBorders>
              <w:bottom w:val="single" w:sz="8" w:color="929292"/>
            </w:tcBorders>
          </w:tcPr>
          <w:p>
            <w:pPr>
              <w:spacing w:after="0"/>
              <w:rPr>
                <w:sz w:val="14"/>
                <w:szCs w:val="14"/>
                <w:color w:val="auto"/>
              </w:rPr>
            </w:pP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(8,248)</w:t>
            </w:r>
          </w:p>
        </w:tc>
        <w:tc>
          <w:tcPr>
            <w:tcW w:w="100" w:type="dxa"/>
            <w:vAlign w:val="bottom"/>
          </w:tcPr>
          <w:p>
            <w:pPr>
              <w:spacing w:after="0"/>
              <w:rPr>
                <w:sz w:val="14"/>
                <w:szCs w:val="14"/>
                <w:color w:val="auto"/>
              </w:rPr>
            </w:pPr>
          </w:p>
        </w:tc>
        <w:tc>
          <w:tcPr>
            <w:tcW w:w="300" w:type="dxa"/>
            <w:vAlign w:val="bottom"/>
            <w:tcBorders>
              <w:bottom w:val="single" w:sz="8" w:color="929292"/>
            </w:tcBorders>
          </w:tcPr>
          <w:p>
            <w:pPr>
              <w:spacing w:after="0"/>
              <w:rPr>
                <w:sz w:val="14"/>
                <w:szCs w:val="14"/>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6,025</w:t>
            </w:r>
          </w:p>
        </w:tc>
        <w:tc>
          <w:tcPr>
            <w:tcW w:w="0" w:type="dxa"/>
            <w:vAlign w:val="bottom"/>
          </w:tcPr>
          <w:p>
            <w:pPr>
              <w:spacing w:after="0"/>
              <w:rPr>
                <w:sz w:val="1"/>
                <w:szCs w:val="1"/>
                <w:color w:val="auto"/>
              </w:rPr>
            </w:pPr>
          </w:p>
        </w:tc>
      </w:tr>
      <w:tr>
        <w:trPr>
          <w:trHeight w:val="154"/>
        </w:trPr>
        <w:tc>
          <w:tcPr>
            <w:tcW w:w="840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100" w:type="dxa"/>
            <w:vAlign w:val="bottom"/>
            <w:shd w:val="clear" w:color="auto" w:fill="B6B6B6"/>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400" w:type="dxa"/>
            <w:vAlign w:val="bottom"/>
          </w:tcPr>
          <w:p>
            <w:pPr>
              <w:ind w:left="140"/>
              <w:spacing w:after="0"/>
              <w:rPr>
                <w:sz w:val="20"/>
                <w:szCs w:val="20"/>
                <w:color w:val="auto"/>
              </w:rPr>
            </w:pPr>
            <w:r>
              <w:rPr>
                <w:rFonts w:ascii="Arial" w:cs="Arial" w:eastAsia="Arial" w:hAnsi="Arial"/>
                <w:sz w:val="13"/>
                <w:szCs w:val="13"/>
                <w:color w:val="auto"/>
              </w:rPr>
              <w:t>Repayment of borrowings</w:t>
            </w:r>
          </w:p>
        </w:tc>
        <w:tc>
          <w:tcPr>
            <w:tcW w:w="100" w:type="dxa"/>
            <w:vAlign w:val="bottom"/>
            <w:shd w:val="clear" w:color="auto" w:fill="B6B6B6"/>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(2,375)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75"/>
        </w:trPr>
        <w:tc>
          <w:tcPr>
            <w:tcW w:w="8400" w:type="dxa"/>
            <w:vAlign w:val="bottom"/>
          </w:tcPr>
          <w:p>
            <w:pPr>
              <w:ind w:left="140"/>
              <w:spacing w:after="0"/>
              <w:rPr>
                <w:sz w:val="20"/>
                <w:szCs w:val="20"/>
                <w:color w:val="auto"/>
              </w:rPr>
            </w:pPr>
            <w:r>
              <w:rPr>
                <w:rFonts w:ascii="Arial" w:cs="Arial" w:eastAsia="Arial" w:hAnsi="Arial"/>
                <w:sz w:val="13"/>
                <w:szCs w:val="13"/>
                <w:color w:val="auto"/>
              </w:rPr>
              <w:t>Proceeds from borrowings</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97,999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40,000</w:t>
            </w:r>
          </w:p>
        </w:tc>
        <w:tc>
          <w:tcPr>
            <w:tcW w:w="0" w:type="dxa"/>
            <w:vAlign w:val="bottom"/>
          </w:tcPr>
          <w:p>
            <w:pPr>
              <w:spacing w:after="0"/>
              <w:rPr>
                <w:sz w:val="1"/>
                <w:szCs w:val="1"/>
                <w:color w:val="auto"/>
              </w:rPr>
            </w:pPr>
          </w:p>
        </w:tc>
      </w:tr>
      <w:tr>
        <w:trPr>
          <w:trHeight w:val="176"/>
        </w:trPr>
        <w:tc>
          <w:tcPr>
            <w:tcW w:w="8400" w:type="dxa"/>
            <w:vAlign w:val="bottom"/>
          </w:tcPr>
          <w:p>
            <w:pPr>
              <w:ind w:left="140"/>
              <w:spacing w:after="0"/>
              <w:rPr>
                <w:sz w:val="20"/>
                <w:szCs w:val="20"/>
                <w:color w:val="auto"/>
              </w:rPr>
            </w:pPr>
            <w:r>
              <w:rPr>
                <w:rFonts w:ascii="Arial" w:cs="Arial" w:eastAsia="Arial" w:hAnsi="Arial"/>
                <w:sz w:val="13"/>
                <w:szCs w:val="13"/>
                <w:color w:val="auto"/>
              </w:rPr>
              <w:t>Debt issuance cost payments</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(8,408)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(13,584)</w:t>
            </w:r>
          </w:p>
        </w:tc>
        <w:tc>
          <w:tcPr>
            <w:tcW w:w="0" w:type="dxa"/>
            <w:vAlign w:val="bottom"/>
          </w:tcPr>
          <w:p>
            <w:pPr>
              <w:spacing w:after="0"/>
              <w:rPr>
                <w:sz w:val="1"/>
                <w:szCs w:val="1"/>
                <w:color w:val="auto"/>
              </w:rPr>
            </w:pPr>
          </w:p>
        </w:tc>
      </w:tr>
      <w:tr>
        <w:trPr>
          <w:trHeight w:val="175"/>
        </w:trPr>
        <w:tc>
          <w:tcPr>
            <w:tcW w:w="8400" w:type="dxa"/>
            <w:vAlign w:val="bottom"/>
          </w:tcPr>
          <w:p>
            <w:pPr>
              <w:ind w:left="140"/>
              <w:spacing w:after="0"/>
              <w:rPr>
                <w:sz w:val="20"/>
                <w:szCs w:val="20"/>
                <w:color w:val="auto"/>
              </w:rPr>
            </w:pPr>
            <w:r>
              <w:rPr>
                <w:rFonts w:ascii="Arial" w:cs="Arial" w:eastAsia="Arial" w:hAnsi="Arial"/>
                <w:sz w:val="13"/>
                <w:szCs w:val="13"/>
                <w:color w:val="auto"/>
              </w:rPr>
              <w:t>Repurchase of shares to satisfy employee tax withholding obligations</w:t>
            </w:r>
          </w:p>
        </w:tc>
        <w:tc>
          <w:tcPr>
            <w:tcW w:w="10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(5,130)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(1,484)</w:t>
            </w:r>
          </w:p>
        </w:tc>
        <w:tc>
          <w:tcPr>
            <w:tcW w:w="0" w:type="dxa"/>
            <w:vAlign w:val="bottom"/>
          </w:tcPr>
          <w:p>
            <w:pPr>
              <w:spacing w:after="0"/>
              <w:rPr>
                <w:sz w:val="1"/>
                <w:szCs w:val="1"/>
                <w:color w:val="auto"/>
              </w:rPr>
            </w:pPr>
          </w:p>
        </w:tc>
      </w:tr>
      <w:tr>
        <w:trPr>
          <w:trHeight w:val="183"/>
        </w:trPr>
        <w:tc>
          <w:tcPr>
            <w:tcW w:w="8400" w:type="dxa"/>
            <w:vAlign w:val="bottom"/>
          </w:tcPr>
          <w:p>
            <w:pPr>
              <w:ind w:left="140"/>
              <w:spacing w:after="0"/>
              <w:rPr>
                <w:sz w:val="20"/>
                <w:szCs w:val="20"/>
                <w:color w:val="auto"/>
              </w:rPr>
            </w:pPr>
            <w:r>
              <w:rPr>
                <w:rFonts w:ascii="Arial" w:cs="Arial" w:eastAsia="Arial" w:hAnsi="Arial"/>
                <w:sz w:val="13"/>
                <w:szCs w:val="13"/>
                <w:color w:val="auto"/>
              </w:rPr>
              <w:t>Proceeds from stock option exercises</w:t>
            </w:r>
          </w:p>
        </w:tc>
        <w:tc>
          <w:tcPr>
            <w:tcW w:w="100" w:type="dxa"/>
            <w:vAlign w:val="bottom"/>
            <w:tcBorders>
              <w:bottom w:val="single" w:sz="8" w:color="B6B6B6"/>
            </w:tcBorders>
            <w:shd w:val="clear" w:color="auto" w:fill="B6B6B6"/>
          </w:tcPr>
          <w:p>
            <w:pPr>
              <w:spacing w:after="0"/>
              <w:rPr>
                <w:sz w:val="15"/>
                <w:szCs w:val="15"/>
                <w:color w:val="auto"/>
              </w:rPr>
            </w:pPr>
          </w:p>
        </w:tc>
        <w:tc>
          <w:tcPr>
            <w:tcW w:w="280" w:type="dxa"/>
            <w:vAlign w:val="bottom"/>
            <w:tcBorders>
              <w:bottom w:val="single" w:sz="8" w:color="929292"/>
            </w:tcBorders>
          </w:tcPr>
          <w:p>
            <w:pPr>
              <w:spacing w:after="0"/>
              <w:rPr>
                <w:sz w:val="15"/>
                <w:szCs w:val="15"/>
                <w:color w:val="auto"/>
              </w:rPr>
            </w:pP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300" w:type="dxa"/>
            <w:vAlign w:val="bottom"/>
            <w:tcBorders>
              <w:bottom w:val="single" w:sz="8" w:color="929292"/>
            </w:tcBorders>
          </w:tcPr>
          <w:p>
            <w:pPr>
              <w:spacing w:after="0"/>
              <w:rPr>
                <w:sz w:val="15"/>
                <w:szCs w:val="15"/>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9"/>
        </w:trPr>
        <w:tc>
          <w:tcPr>
            <w:tcW w:w="8400" w:type="dxa"/>
            <w:vAlign w:val="bottom"/>
          </w:tcPr>
          <w:p>
            <w:pPr>
              <w:ind w:left="20"/>
              <w:spacing w:after="0" w:line="148" w:lineRule="exact"/>
              <w:rPr>
                <w:sz w:val="20"/>
                <w:szCs w:val="20"/>
                <w:color w:val="auto"/>
              </w:rPr>
            </w:pPr>
            <w:r>
              <w:rPr>
                <w:rFonts w:ascii="Arial" w:cs="Arial" w:eastAsia="Arial" w:hAnsi="Arial"/>
                <w:sz w:val="13"/>
                <w:szCs w:val="13"/>
                <w:color w:val="auto"/>
              </w:rPr>
              <w:t>Net cash provided by (used in) financing activities</w:t>
            </w:r>
          </w:p>
        </w:tc>
        <w:tc>
          <w:tcPr>
            <w:tcW w:w="100" w:type="dxa"/>
            <w:vAlign w:val="bottom"/>
            <w:tcBorders>
              <w:bottom w:val="single" w:sz="8" w:color="B6B6B6"/>
            </w:tcBorders>
            <w:shd w:val="clear" w:color="auto" w:fill="B6B6B6"/>
          </w:tcPr>
          <w:p>
            <w:pPr>
              <w:spacing w:after="0"/>
              <w:rPr>
                <w:sz w:val="14"/>
                <w:szCs w:val="14"/>
                <w:color w:val="auto"/>
              </w:rPr>
            </w:pPr>
          </w:p>
        </w:tc>
        <w:tc>
          <w:tcPr>
            <w:tcW w:w="280" w:type="dxa"/>
            <w:vAlign w:val="bottom"/>
            <w:tcBorders>
              <w:bottom w:val="single" w:sz="8" w:color="929292"/>
            </w:tcBorders>
          </w:tcPr>
          <w:p>
            <w:pPr>
              <w:spacing w:after="0"/>
              <w:rPr>
                <w:sz w:val="14"/>
                <w:szCs w:val="14"/>
                <w:color w:val="auto"/>
              </w:rPr>
            </w:pP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82,087</w:t>
            </w:r>
          </w:p>
        </w:tc>
        <w:tc>
          <w:tcPr>
            <w:tcW w:w="100" w:type="dxa"/>
            <w:vAlign w:val="bottom"/>
          </w:tcPr>
          <w:p>
            <w:pPr>
              <w:spacing w:after="0"/>
              <w:rPr>
                <w:sz w:val="14"/>
                <w:szCs w:val="14"/>
                <w:color w:val="auto"/>
              </w:rPr>
            </w:pPr>
          </w:p>
        </w:tc>
        <w:tc>
          <w:tcPr>
            <w:tcW w:w="300" w:type="dxa"/>
            <w:vAlign w:val="bottom"/>
            <w:tcBorders>
              <w:bottom w:val="single" w:sz="8" w:color="929292"/>
            </w:tcBorders>
          </w:tcPr>
          <w:p>
            <w:pPr>
              <w:spacing w:after="0"/>
              <w:rPr>
                <w:sz w:val="14"/>
                <w:szCs w:val="14"/>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(25,064)</w:t>
            </w:r>
          </w:p>
        </w:tc>
        <w:tc>
          <w:tcPr>
            <w:tcW w:w="0" w:type="dxa"/>
            <w:vAlign w:val="bottom"/>
          </w:tcPr>
          <w:p>
            <w:pPr>
              <w:spacing w:after="0"/>
              <w:rPr>
                <w:sz w:val="1"/>
                <w:szCs w:val="1"/>
                <w:color w:val="auto"/>
              </w:rPr>
            </w:pPr>
          </w:p>
        </w:tc>
      </w:tr>
      <w:tr>
        <w:trPr>
          <w:trHeight w:val="169"/>
        </w:trPr>
        <w:tc>
          <w:tcPr>
            <w:tcW w:w="8400" w:type="dxa"/>
            <w:vAlign w:val="bottom"/>
          </w:tcPr>
          <w:p>
            <w:pPr>
              <w:ind w:left="20"/>
              <w:spacing w:after="0" w:line="148" w:lineRule="exact"/>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tcBorders>
              <w:bottom w:val="single" w:sz="8" w:color="B6B6B6"/>
            </w:tcBorders>
            <w:shd w:val="clear" w:color="auto" w:fill="B6B6B6"/>
          </w:tcPr>
          <w:p>
            <w:pPr>
              <w:spacing w:after="0"/>
              <w:rPr>
                <w:sz w:val="14"/>
                <w:szCs w:val="14"/>
                <w:color w:val="auto"/>
              </w:rPr>
            </w:pPr>
          </w:p>
        </w:tc>
        <w:tc>
          <w:tcPr>
            <w:tcW w:w="280" w:type="dxa"/>
            <w:vAlign w:val="bottom"/>
            <w:tcBorders>
              <w:bottom w:val="single" w:sz="8" w:color="929292"/>
            </w:tcBorders>
          </w:tcPr>
          <w:p>
            <w:pPr>
              <w:spacing w:after="0"/>
              <w:rPr>
                <w:sz w:val="14"/>
                <w:szCs w:val="14"/>
                <w:color w:val="auto"/>
              </w:rPr>
            </w:pP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4"/>
                <w:szCs w:val="14"/>
                <w:color w:val="auto"/>
              </w:rPr>
            </w:pPr>
          </w:p>
        </w:tc>
        <w:tc>
          <w:tcPr>
            <w:tcW w:w="300" w:type="dxa"/>
            <w:vAlign w:val="bottom"/>
            <w:tcBorders>
              <w:bottom w:val="single" w:sz="8" w:color="929292"/>
            </w:tcBorders>
          </w:tcPr>
          <w:p>
            <w:pPr>
              <w:spacing w:after="0"/>
              <w:rPr>
                <w:sz w:val="14"/>
                <w:szCs w:val="14"/>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69"/>
        </w:trPr>
        <w:tc>
          <w:tcPr>
            <w:tcW w:w="8400" w:type="dxa"/>
            <w:vAlign w:val="bottom"/>
          </w:tcPr>
          <w:p>
            <w:pPr>
              <w:ind w:left="20"/>
              <w:spacing w:after="0" w:line="148" w:lineRule="exact"/>
              <w:rPr>
                <w:sz w:val="20"/>
                <w:szCs w:val="20"/>
                <w:color w:val="auto"/>
              </w:rPr>
            </w:pPr>
            <w:r>
              <w:rPr>
                <w:rFonts w:ascii="Arial" w:cs="Arial" w:eastAsia="Arial" w:hAnsi="Arial"/>
                <w:sz w:val="13"/>
                <w:szCs w:val="13"/>
                <w:color w:val="auto"/>
              </w:rPr>
              <w:t>Increase (decrease) in cash and cash equivalents</w:t>
            </w:r>
          </w:p>
        </w:tc>
        <w:tc>
          <w:tcPr>
            <w:tcW w:w="100" w:type="dxa"/>
            <w:vAlign w:val="bottom"/>
            <w:tcBorders>
              <w:bottom w:val="single" w:sz="8" w:color="B6B6B6"/>
            </w:tcBorders>
            <w:shd w:val="clear" w:color="auto" w:fill="B6B6B6"/>
          </w:tcPr>
          <w:p>
            <w:pPr>
              <w:spacing w:after="0"/>
              <w:rPr>
                <w:sz w:val="14"/>
                <w:szCs w:val="14"/>
                <w:color w:val="auto"/>
              </w:rPr>
            </w:pPr>
          </w:p>
        </w:tc>
        <w:tc>
          <w:tcPr>
            <w:tcW w:w="280" w:type="dxa"/>
            <w:vAlign w:val="bottom"/>
            <w:tcBorders>
              <w:bottom w:val="single" w:sz="8" w:color="929292"/>
            </w:tcBorders>
          </w:tcPr>
          <w:p>
            <w:pPr>
              <w:spacing w:after="0"/>
              <w:rPr>
                <w:sz w:val="14"/>
                <w:szCs w:val="14"/>
                <w:color w:val="auto"/>
              </w:rPr>
            </w:pP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(8,845)</w:t>
            </w:r>
          </w:p>
        </w:tc>
        <w:tc>
          <w:tcPr>
            <w:tcW w:w="100" w:type="dxa"/>
            <w:vAlign w:val="bottom"/>
          </w:tcPr>
          <w:p>
            <w:pPr>
              <w:spacing w:after="0"/>
              <w:rPr>
                <w:sz w:val="14"/>
                <w:szCs w:val="14"/>
                <w:color w:val="auto"/>
              </w:rPr>
            </w:pPr>
          </w:p>
        </w:tc>
        <w:tc>
          <w:tcPr>
            <w:tcW w:w="300" w:type="dxa"/>
            <w:vAlign w:val="bottom"/>
            <w:tcBorders>
              <w:bottom w:val="single" w:sz="8" w:color="929292"/>
            </w:tcBorders>
          </w:tcPr>
          <w:p>
            <w:pPr>
              <w:spacing w:after="0"/>
              <w:rPr>
                <w:sz w:val="14"/>
                <w:szCs w:val="14"/>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(55,282)</w:t>
            </w:r>
          </w:p>
        </w:tc>
        <w:tc>
          <w:tcPr>
            <w:tcW w:w="0" w:type="dxa"/>
            <w:vAlign w:val="bottom"/>
          </w:tcPr>
          <w:p>
            <w:pPr>
              <w:spacing w:after="0"/>
              <w:rPr>
                <w:sz w:val="1"/>
                <w:szCs w:val="1"/>
                <w:color w:val="auto"/>
              </w:rPr>
            </w:pPr>
          </w:p>
        </w:tc>
      </w:tr>
      <w:tr>
        <w:trPr>
          <w:trHeight w:val="169"/>
        </w:trPr>
        <w:tc>
          <w:tcPr>
            <w:tcW w:w="8400" w:type="dxa"/>
            <w:vAlign w:val="bottom"/>
          </w:tcPr>
          <w:p>
            <w:pPr>
              <w:ind w:left="20"/>
              <w:spacing w:after="0" w:line="148" w:lineRule="exact"/>
              <w:rPr>
                <w:sz w:val="20"/>
                <w:szCs w:val="20"/>
                <w:color w:val="auto"/>
              </w:rPr>
            </w:pPr>
            <w:r>
              <w:rPr>
                <w:rFonts w:ascii="Arial" w:cs="Arial" w:eastAsia="Arial" w:hAnsi="Arial"/>
                <w:sz w:val="13"/>
                <w:szCs w:val="13"/>
                <w:color w:val="auto"/>
              </w:rPr>
              <w:t>Cash and cash equivalents at beginning of period</w:t>
            </w:r>
          </w:p>
        </w:tc>
        <w:tc>
          <w:tcPr>
            <w:tcW w:w="100" w:type="dxa"/>
            <w:vAlign w:val="bottom"/>
            <w:tcBorders>
              <w:bottom w:val="single" w:sz="8" w:color="B6B6B6"/>
            </w:tcBorders>
            <w:shd w:val="clear" w:color="auto" w:fill="B6B6B6"/>
          </w:tcPr>
          <w:p>
            <w:pPr>
              <w:spacing w:after="0"/>
              <w:rPr>
                <w:sz w:val="14"/>
                <w:szCs w:val="14"/>
                <w:color w:val="auto"/>
              </w:rPr>
            </w:pPr>
          </w:p>
        </w:tc>
        <w:tc>
          <w:tcPr>
            <w:tcW w:w="280" w:type="dxa"/>
            <w:vAlign w:val="bottom"/>
            <w:tcBorders>
              <w:bottom w:val="single" w:sz="8" w:color="929292"/>
            </w:tcBorders>
          </w:tcPr>
          <w:p>
            <w:pPr>
              <w:spacing w:after="0"/>
              <w:rPr>
                <w:sz w:val="14"/>
                <w:szCs w:val="14"/>
                <w:color w:val="auto"/>
              </w:rPr>
            </w:pP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40,921</w:t>
            </w:r>
          </w:p>
        </w:tc>
        <w:tc>
          <w:tcPr>
            <w:tcW w:w="100" w:type="dxa"/>
            <w:vAlign w:val="bottom"/>
          </w:tcPr>
          <w:p>
            <w:pPr>
              <w:spacing w:after="0"/>
              <w:rPr>
                <w:sz w:val="14"/>
                <w:szCs w:val="14"/>
                <w:color w:val="auto"/>
              </w:rPr>
            </w:pPr>
          </w:p>
        </w:tc>
        <w:tc>
          <w:tcPr>
            <w:tcW w:w="300" w:type="dxa"/>
            <w:vAlign w:val="bottom"/>
            <w:tcBorders>
              <w:bottom w:val="single" w:sz="8" w:color="929292"/>
            </w:tcBorders>
          </w:tcPr>
          <w:p>
            <w:pPr>
              <w:spacing w:after="0"/>
              <w:rPr>
                <w:sz w:val="14"/>
                <w:szCs w:val="14"/>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90,809</w:t>
            </w:r>
          </w:p>
        </w:tc>
        <w:tc>
          <w:tcPr>
            <w:tcW w:w="0" w:type="dxa"/>
            <w:vAlign w:val="bottom"/>
          </w:tcPr>
          <w:p>
            <w:pPr>
              <w:spacing w:after="0"/>
              <w:rPr>
                <w:sz w:val="1"/>
                <w:szCs w:val="1"/>
                <w:color w:val="auto"/>
              </w:rPr>
            </w:pPr>
          </w:p>
        </w:tc>
      </w:tr>
      <w:tr>
        <w:trPr>
          <w:trHeight w:val="172"/>
        </w:trPr>
        <w:tc>
          <w:tcPr>
            <w:tcW w:w="840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100" w:type="dxa"/>
            <w:vAlign w:val="bottom"/>
            <w:tcBorders>
              <w:bottom w:val="single" w:sz="8" w:color="B6B6B6"/>
            </w:tcBorders>
            <w:shd w:val="clear" w:color="auto" w:fill="B6B6B6"/>
          </w:tcPr>
          <w:p>
            <w:pPr>
              <w:spacing w:after="0"/>
              <w:rPr>
                <w:sz w:val="14"/>
                <w:szCs w:val="14"/>
                <w:color w:val="auto"/>
              </w:rPr>
            </w:pPr>
          </w:p>
        </w:tc>
        <w:tc>
          <w:tcPr>
            <w:tcW w:w="280" w:type="dxa"/>
            <w:vAlign w:val="bottom"/>
            <w:tcBorders>
              <w:bottom w:val="single" w:sz="8" w:color="929292"/>
            </w:tcBorders>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3"/>
                <w:szCs w:val="13"/>
                <w:b w:val="1"/>
                <w:bCs w:val="1"/>
                <w:color w:val="auto"/>
              </w:rPr>
              <w:t>32,076</w:t>
            </w:r>
          </w:p>
        </w:tc>
        <w:tc>
          <w:tcPr>
            <w:tcW w:w="100" w:type="dxa"/>
            <w:vAlign w:val="bottom"/>
          </w:tcPr>
          <w:p>
            <w:pPr>
              <w:spacing w:after="0"/>
              <w:rPr>
                <w:sz w:val="14"/>
                <w:szCs w:val="14"/>
                <w:color w:val="auto"/>
              </w:rPr>
            </w:pPr>
          </w:p>
        </w:tc>
        <w:tc>
          <w:tcPr>
            <w:tcW w:w="300" w:type="dxa"/>
            <w:vAlign w:val="bottom"/>
            <w:tcBorders>
              <w:bottom w:val="single" w:sz="8" w:color="929292"/>
            </w:tcBorders>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3"/>
                <w:szCs w:val="13"/>
                <w:b w:val="1"/>
                <w:bCs w:val="1"/>
                <w:color w:val="auto"/>
              </w:rPr>
              <w:t>35,527</w:t>
            </w:r>
          </w:p>
        </w:tc>
        <w:tc>
          <w:tcPr>
            <w:tcW w:w="0" w:type="dxa"/>
            <w:vAlign w:val="bottom"/>
          </w:tcPr>
          <w:p>
            <w:pPr>
              <w:spacing w:after="0"/>
              <w:rPr>
                <w:sz w:val="1"/>
                <w:szCs w:val="1"/>
                <w:color w:val="auto"/>
              </w:rPr>
            </w:pPr>
          </w:p>
        </w:tc>
      </w:tr>
      <w:tr>
        <w:trPr>
          <w:trHeight w:val="24"/>
        </w:trPr>
        <w:tc>
          <w:tcPr>
            <w:tcW w:w="84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00" w:type="dxa"/>
            <w:vAlign w:val="bottom"/>
            <w:tcBorders>
              <w:bottom w:val="single" w:sz="8" w:color="B6B6B6"/>
            </w:tcBorders>
            <w:shd w:val="clear" w:color="auto" w:fill="B6B6B6"/>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040" w:type="dxa"/>
            <w:vAlign w:val="bottom"/>
            <w:tcBorders>
              <w:bottom w:val="single" w:sz="8" w:color="929292"/>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8400" w:type="dxa"/>
            <w:vAlign w:val="bottom"/>
            <w:vMerge w:val="continue"/>
          </w:tcPr>
          <w:p>
            <w:pPr>
              <w:spacing w:after="0"/>
              <w:rPr>
                <w:sz w:val="11"/>
                <w:szCs w:val="11"/>
                <w:color w:val="auto"/>
              </w:rPr>
            </w:pPr>
          </w:p>
        </w:tc>
        <w:tc>
          <w:tcPr>
            <w:tcW w:w="100" w:type="dxa"/>
            <w:vAlign w:val="bottom"/>
            <w:shd w:val="clear" w:color="auto" w:fill="B6B6B6"/>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8400" w:type="dxa"/>
            <w:vAlign w:val="bottom"/>
          </w:tcPr>
          <w:p>
            <w:pPr>
              <w:ind w:left="20"/>
              <w:spacing w:after="0"/>
              <w:rPr>
                <w:sz w:val="20"/>
                <w:szCs w:val="20"/>
                <w:color w:val="auto"/>
              </w:rPr>
            </w:pPr>
            <w:r>
              <w:rPr>
                <w:rFonts w:ascii="Arial" w:cs="Arial" w:eastAsia="Arial" w:hAnsi="Arial"/>
                <w:sz w:val="13"/>
                <w:szCs w:val="13"/>
                <w:i w:val="1"/>
                <w:iCs w:val="1"/>
                <w:color w:val="auto"/>
              </w:rPr>
              <w:t>Non-cash investing and financing activities:</w:t>
            </w:r>
          </w:p>
        </w:tc>
        <w:tc>
          <w:tcPr>
            <w:tcW w:w="100" w:type="dxa"/>
            <w:vAlign w:val="bottom"/>
            <w:shd w:val="clear" w:color="auto" w:fill="B6B6B6"/>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400" w:type="dxa"/>
            <w:vAlign w:val="bottom"/>
          </w:tcPr>
          <w:p>
            <w:pPr>
              <w:ind w:left="460"/>
              <w:spacing w:after="0"/>
              <w:rPr>
                <w:sz w:val="20"/>
                <w:szCs w:val="20"/>
                <w:color w:val="auto"/>
              </w:rPr>
            </w:pPr>
            <w:r>
              <w:rPr>
                <w:rFonts w:ascii="Arial" w:cs="Arial" w:eastAsia="Arial" w:hAnsi="Arial"/>
                <w:sz w:val="13"/>
                <w:szCs w:val="13"/>
                <w:color w:val="auto"/>
              </w:rPr>
              <w:t>Purchases of property, equipment and software included in accounts payable</w:t>
            </w:r>
          </w:p>
        </w:tc>
        <w:tc>
          <w:tcPr>
            <w:tcW w:w="100" w:type="dxa"/>
            <w:vAlign w:val="bottom"/>
            <w:shd w:val="clear" w:color="auto" w:fill="B6B6B6"/>
          </w:tcPr>
          <w:p>
            <w:pPr>
              <w:spacing w:after="0"/>
              <w:rPr>
                <w:sz w:val="16"/>
                <w:szCs w:val="16"/>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81" w:right="339" w:bottom="1440" w:gutter="0" w:footer="0" w:header="0"/>
        </w:sectPr>
      </w:pPr>
    </w:p>
    <w:bookmarkStart w:id="11" w:name="page12"/>
    <w:bookmarkEnd w:id="11"/>
    <w:p>
      <w:pPr>
        <w:ind w:right="60"/>
        <w:spacing w:after="0" w:line="286"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The most relevant business and operating metrics for our single operating and reportable segment are furnished in the tables below (unaudited).</w:t>
      </w:r>
    </w:p>
    <w:p>
      <w:pPr>
        <w:spacing w:after="0" w:line="19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Beginning in the quarter ended June 30, 2025, we revised the definitions of certain business and operating metrics to reflect our recent expansion into GoHealth Protect. This revised presentation aligns with how we currently manage our operations. We did not revise prior periods’ metrics because GoHealth Protect was not significant prior to the second quarter of 2025.</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number of Submissions for the periods presented:</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40" w:type="dxa"/>
            <w:vAlign w:val="bottom"/>
            <w:tcBorders>
              <w:top w:val="single" w:sz="8" w:color="B6B6B6"/>
              <w:left w:val="single" w:sz="8" w:color="B6B6B6"/>
            </w:tcBorders>
          </w:tcPr>
          <w:p>
            <w:pPr>
              <w:spacing w:after="0"/>
              <w:rPr>
                <w:sz w:val="17"/>
                <w:szCs w:val="17"/>
                <w:color w:val="auto"/>
              </w:rPr>
            </w:pPr>
          </w:p>
        </w:tc>
        <w:tc>
          <w:tcPr>
            <w:tcW w:w="100" w:type="dxa"/>
            <w:vAlign w:val="bottom"/>
            <w:tcBorders>
              <w:top w:val="single" w:sz="8" w:color="B6B6B6"/>
            </w:tcBorders>
            <w:shd w:val="clear" w:color="auto" w:fill="B6B6B6"/>
          </w:tcPr>
          <w:p>
            <w:pPr>
              <w:spacing w:after="0"/>
              <w:rPr>
                <w:sz w:val="17"/>
                <w:szCs w:val="17"/>
                <w:color w:val="auto"/>
              </w:rPr>
            </w:pPr>
          </w:p>
        </w:tc>
        <w:tc>
          <w:tcPr>
            <w:tcW w:w="3120" w:type="dxa"/>
            <w:vAlign w:val="bottom"/>
            <w:gridSpan w:val="4"/>
          </w:tcPr>
          <w:p>
            <w:pPr>
              <w:jc w:val="center"/>
              <w:ind w:right="100"/>
              <w:spacing w:after="0"/>
              <w:rPr>
                <w:sz w:val="20"/>
                <w:szCs w:val="20"/>
                <w:color w:val="auto"/>
              </w:rPr>
            </w:pPr>
            <w:r>
              <w:rPr>
                <w:rFonts w:ascii="Arial" w:cs="Arial" w:eastAsia="Arial" w:hAnsi="Arial"/>
                <w:sz w:val="14"/>
                <w:szCs w:val="14"/>
                <w:color w:val="auto"/>
              </w:rPr>
              <w:t>Three months ended Sep. 30,</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40" w:type="dxa"/>
            <w:vAlign w:val="bottom"/>
            <w:tcBorders>
              <w:left w:val="single" w:sz="8" w:color="B6B6B6"/>
            </w:tcBorders>
          </w:tcPr>
          <w:p>
            <w:pPr>
              <w:spacing w:after="0"/>
              <w:rPr>
                <w:sz w:val="16"/>
                <w:szCs w:val="16"/>
                <w:color w:val="auto"/>
              </w:rPr>
            </w:pPr>
          </w:p>
        </w:tc>
        <w:tc>
          <w:tcPr>
            <w:tcW w:w="100" w:type="dxa"/>
            <w:vAlign w:val="bottom"/>
            <w:shd w:val="clear" w:color="auto" w:fill="B6B6B6"/>
          </w:tcPr>
          <w:p>
            <w:pPr>
              <w:spacing w:after="0"/>
              <w:rPr>
                <w:sz w:val="16"/>
                <w:szCs w:val="16"/>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1480" w:type="dxa"/>
            <w:vAlign w:val="bottom"/>
          </w:tcPr>
          <w:p>
            <w:pPr>
              <w:jc w:val="right"/>
              <w:ind w:right="508"/>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6"/>
                <w:szCs w:val="16"/>
                <w:color w:val="auto"/>
              </w:rPr>
            </w:pPr>
          </w:p>
        </w:tc>
        <w:tc>
          <w:tcPr>
            <w:tcW w:w="1580" w:type="dxa"/>
            <w:vAlign w:val="bottom"/>
            <w:gridSpan w:val="2"/>
          </w:tcPr>
          <w:p>
            <w:pPr>
              <w:ind w:left="500"/>
              <w:spacing w:after="0"/>
              <w:rPr>
                <w:sz w:val="20"/>
                <w:szCs w:val="20"/>
                <w:color w:val="auto"/>
              </w:rPr>
            </w:pPr>
            <w:r>
              <w:rPr>
                <w:rFonts w:ascii="Arial" w:cs="Arial" w:eastAsia="Arial" w:hAnsi="Arial"/>
                <w:sz w:val="14"/>
                <w:szCs w:val="14"/>
                <w:color w:val="auto"/>
              </w:rPr>
              <w:t>Change</w:t>
            </w:r>
          </w:p>
        </w:tc>
        <w:tc>
          <w:tcPr>
            <w:tcW w:w="1580" w:type="dxa"/>
            <w:vAlign w:val="bottom"/>
          </w:tcPr>
          <w:p>
            <w:pPr>
              <w:jc w:val="right"/>
              <w:ind w:right="38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840" w:type="dxa"/>
            <w:vAlign w:val="bottom"/>
            <w:tcBorders>
              <w:left w:val="single" w:sz="8" w:color="B6B6B6"/>
            </w:tcBorders>
            <w:vMerge w:val="restart"/>
          </w:tcPr>
          <w:p>
            <w:pPr>
              <w:ind w:left="1980"/>
              <w:spacing w:after="0"/>
              <w:rPr>
                <w:sz w:val="20"/>
                <w:szCs w:val="20"/>
                <w:color w:val="auto"/>
              </w:rPr>
            </w:pPr>
            <w:r>
              <w:rPr>
                <w:rFonts w:ascii="Arial" w:cs="Arial" w:eastAsia="Arial" w:hAnsi="Arial"/>
                <w:sz w:val="14"/>
                <w:szCs w:val="14"/>
                <w:b w:val="1"/>
                <w:bCs w:val="1"/>
                <w:color w:val="151D8E"/>
              </w:rPr>
              <w:t>Submissions</w:t>
            </w:r>
          </w:p>
        </w:tc>
        <w:tc>
          <w:tcPr>
            <w:tcW w:w="100" w:type="dxa"/>
            <w:vAlign w:val="bottom"/>
            <w:tcBorders>
              <w:top w:val="single" w:sz="8" w:color="B6B6B6"/>
            </w:tcBorders>
            <w:shd w:val="clear" w:color="auto" w:fill="B6B6B6"/>
          </w:tcPr>
          <w:p>
            <w:pPr>
              <w:spacing w:after="0"/>
              <w:rPr>
                <w:sz w:val="16"/>
                <w:szCs w:val="16"/>
                <w:color w:val="auto"/>
              </w:rPr>
            </w:pPr>
          </w:p>
        </w:tc>
        <w:tc>
          <w:tcPr>
            <w:tcW w:w="146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72,183</w:t>
            </w:r>
          </w:p>
        </w:tc>
        <w:tc>
          <w:tcPr>
            <w:tcW w:w="100" w:type="dxa"/>
            <w:vAlign w:val="bottom"/>
          </w:tcPr>
          <w:p>
            <w:pPr>
              <w:spacing w:after="0"/>
              <w:rPr>
                <w:sz w:val="16"/>
                <w:szCs w:val="16"/>
                <w:color w:val="auto"/>
              </w:rPr>
            </w:pPr>
          </w:p>
        </w:tc>
        <w:tc>
          <w:tcPr>
            <w:tcW w:w="148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166,195</w:t>
            </w:r>
          </w:p>
        </w:tc>
        <w:tc>
          <w:tcPr>
            <w:tcW w:w="80" w:type="dxa"/>
            <w:vAlign w:val="bottom"/>
          </w:tcPr>
          <w:p>
            <w:pPr>
              <w:spacing w:after="0"/>
              <w:rPr>
                <w:sz w:val="16"/>
                <w:szCs w:val="16"/>
                <w:color w:val="auto"/>
              </w:rPr>
            </w:pPr>
          </w:p>
        </w:tc>
        <w:tc>
          <w:tcPr>
            <w:tcW w:w="148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(94,012)</w:t>
            </w:r>
          </w:p>
        </w:tc>
        <w:tc>
          <w:tcPr>
            <w:tcW w:w="100" w:type="dxa"/>
            <w:vAlign w:val="bottom"/>
          </w:tcPr>
          <w:p>
            <w:pPr>
              <w:spacing w:after="0"/>
              <w:rPr>
                <w:sz w:val="16"/>
                <w:szCs w:val="16"/>
                <w:color w:val="auto"/>
              </w:rPr>
            </w:pPr>
          </w:p>
        </w:tc>
        <w:tc>
          <w:tcPr>
            <w:tcW w:w="158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95"/>
        </w:trPr>
        <w:tc>
          <w:tcPr>
            <w:tcW w:w="4840" w:type="dxa"/>
            <w:vAlign w:val="bottom"/>
            <w:tcBorders>
              <w:left w:val="single" w:sz="8" w:color="B6B6B6"/>
            </w:tcBorders>
            <w:vMerge w:val="continue"/>
          </w:tcPr>
          <w:p>
            <w:pPr>
              <w:spacing w:after="0"/>
              <w:rPr>
                <w:sz w:val="16"/>
                <w:szCs w:val="16"/>
                <w:color w:val="auto"/>
              </w:rPr>
            </w:pPr>
          </w:p>
        </w:tc>
        <w:tc>
          <w:tcPr>
            <w:tcW w:w="100" w:type="dxa"/>
            <w:vAlign w:val="bottom"/>
            <w:shd w:val="clear" w:color="auto" w:fill="B6B6B6"/>
          </w:tcPr>
          <w:p>
            <w:pPr>
              <w:spacing w:after="0"/>
              <w:rPr>
                <w:sz w:val="16"/>
                <w:szCs w:val="16"/>
                <w:color w:val="auto"/>
              </w:rPr>
            </w:pPr>
          </w:p>
        </w:tc>
        <w:tc>
          <w:tcPr>
            <w:tcW w:w="3120" w:type="dxa"/>
            <w:vAlign w:val="bottom"/>
            <w:gridSpan w:val="4"/>
            <w:vMerge w:val="restart"/>
          </w:tcPr>
          <w:p>
            <w:pPr>
              <w:jc w:val="center"/>
              <w:ind w:right="100"/>
              <w:spacing w:after="0"/>
              <w:rPr>
                <w:sz w:val="20"/>
                <w:szCs w:val="20"/>
                <w:color w:val="auto"/>
              </w:rPr>
            </w:pPr>
            <w:r>
              <w:rPr>
                <w:rFonts w:ascii="Arial" w:cs="Arial" w:eastAsia="Arial" w:hAnsi="Arial"/>
                <w:sz w:val="14"/>
                <w:szCs w:val="14"/>
                <w:color w:val="auto"/>
              </w:rPr>
              <w:t>Nine months ended Sep. 30,</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40" w:type="dxa"/>
            <w:vAlign w:val="bottom"/>
            <w:tcBorders>
              <w:left w:val="single" w:sz="8" w:color="B6B6B6"/>
            </w:tcBorders>
          </w:tcPr>
          <w:p>
            <w:pPr>
              <w:spacing w:after="0"/>
              <w:rPr>
                <w:sz w:val="14"/>
                <w:szCs w:val="14"/>
                <w:color w:val="auto"/>
              </w:rPr>
            </w:pPr>
          </w:p>
        </w:tc>
        <w:tc>
          <w:tcPr>
            <w:tcW w:w="100" w:type="dxa"/>
            <w:vAlign w:val="bottom"/>
            <w:shd w:val="clear" w:color="auto" w:fill="B6B6B6"/>
          </w:tcPr>
          <w:p>
            <w:pPr>
              <w:spacing w:after="0"/>
              <w:rPr>
                <w:sz w:val="14"/>
                <w:szCs w:val="14"/>
                <w:color w:val="auto"/>
              </w:rPr>
            </w:pPr>
          </w:p>
        </w:tc>
        <w:tc>
          <w:tcPr>
            <w:tcW w:w="3120" w:type="dxa"/>
            <w:vAlign w:val="bottom"/>
            <w:gridSpan w:val="4"/>
            <w:vMerge w:val="continue"/>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840" w:type="dxa"/>
            <w:vAlign w:val="bottom"/>
            <w:tcBorders>
              <w:left w:val="single" w:sz="8" w:color="B6B6B6"/>
            </w:tcBorders>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7"/>
                <w:szCs w:val="17"/>
                <w:color w:val="auto"/>
              </w:rPr>
            </w:pPr>
          </w:p>
        </w:tc>
        <w:tc>
          <w:tcPr>
            <w:tcW w:w="1480" w:type="dxa"/>
            <w:vAlign w:val="bottom"/>
          </w:tcPr>
          <w:p>
            <w:pPr>
              <w:jc w:val="right"/>
              <w:ind w:right="508"/>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7"/>
                <w:szCs w:val="17"/>
                <w:color w:val="auto"/>
              </w:rPr>
            </w:pPr>
          </w:p>
        </w:tc>
        <w:tc>
          <w:tcPr>
            <w:tcW w:w="1580" w:type="dxa"/>
            <w:vAlign w:val="bottom"/>
            <w:gridSpan w:val="2"/>
          </w:tcPr>
          <w:p>
            <w:pPr>
              <w:ind w:left="500"/>
              <w:spacing w:after="0"/>
              <w:rPr>
                <w:sz w:val="20"/>
                <w:szCs w:val="20"/>
                <w:color w:val="auto"/>
              </w:rPr>
            </w:pPr>
            <w:r>
              <w:rPr>
                <w:rFonts w:ascii="Arial" w:cs="Arial" w:eastAsia="Arial" w:hAnsi="Arial"/>
                <w:sz w:val="14"/>
                <w:szCs w:val="14"/>
                <w:color w:val="auto"/>
              </w:rPr>
              <w:t>Change</w:t>
            </w:r>
          </w:p>
        </w:tc>
        <w:tc>
          <w:tcPr>
            <w:tcW w:w="1580" w:type="dxa"/>
            <w:vAlign w:val="bottom"/>
          </w:tcPr>
          <w:p>
            <w:pPr>
              <w:jc w:val="right"/>
              <w:ind w:right="38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4840" w:type="dxa"/>
            <w:vAlign w:val="bottom"/>
            <w:tcBorders>
              <w:left w:val="single" w:sz="8" w:color="B6B6B6"/>
              <w:bottom w:val="single" w:sz="8" w:color="B6B6B6"/>
            </w:tcBorders>
          </w:tcPr>
          <w:p>
            <w:pPr>
              <w:spacing w:after="0"/>
              <w:rPr>
                <w:sz w:val="17"/>
                <w:szCs w:val="17"/>
                <w:color w:val="auto"/>
              </w:rPr>
            </w:pPr>
          </w:p>
        </w:tc>
        <w:tc>
          <w:tcPr>
            <w:tcW w:w="100" w:type="dxa"/>
            <w:vAlign w:val="bottom"/>
            <w:tcBorders>
              <w:top w:val="single" w:sz="8" w:color="B6B6B6"/>
              <w:bottom w:val="single" w:sz="8" w:color="B6B6B6"/>
            </w:tcBorders>
            <w:shd w:val="clear" w:color="auto" w:fill="B6B6B6"/>
          </w:tcPr>
          <w:p>
            <w:pPr>
              <w:spacing w:after="0"/>
              <w:rPr>
                <w:sz w:val="17"/>
                <w:szCs w:val="17"/>
                <w:color w:val="auto"/>
              </w:rPr>
            </w:pPr>
          </w:p>
        </w:tc>
        <w:tc>
          <w:tcPr>
            <w:tcW w:w="146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516,286</w:t>
            </w:r>
          </w:p>
        </w:tc>
        <w:tc>
          <w:tcPr>
            <w:tcW w:w="100" w:type="dxa"/>
            <w:vAlign w:val="bottom"/>
          </w:tcPr>
          <w:p>
            <w:pPr>
              <w:spacing w:after="0"/>
              <w:rPr>
                <w:sz w:val="17"/>
                <w:szCs w:val="17"/>
                <w:color w:val="auto"/>
              </w:rPr>
            </w:pPr>
          </w:p>
        </w:tc>
        <w:tc>
          <w:tcPr>
            <w:tcW w:w="148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534,737</w:t>
            </w:r>
          </w:p>
        </w:tc>
        <w:tc>
          <w:tcPr>
            <w:tcW w:w="80" w:type="dxa"/>
            <w:vAlign w:val="bottom"/>
          </w:tcPr>
          <w:p>
            <w:pPr>
              <w:spacing w:after="0"/>
              <w:rPr>
                <w:sz w:val="17"/>
                <w:szCs w:val="17"/>
                <w:color w:val="auto"/>
              </w:rPr>
            </w:pPr>
          </w:p>
        </w:tc>
        <w:tc>
          <w:tcPr>
            <w:tcW w:w="148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(18,451)</w:t>
            </w:r>
          </w:p>
        </w:tc>
        <w:tc>
          <w:tcPr>
            <w:tcW w:w="100" w:type="dxa"/>
            <w:vAlign w:val="bottom"/>
          </w:tcPr>
          <w:p>
            <w:pPr>
              <w:spacing w:after="0"/>
              <w:rPr>
                <w:sz w:val="17"/>
                <w:szCs w:val="17"/>
                <w:color w:val="auto"/>
              </w:rPr>
            </w:pPr>
          </w:p>
        </w:tc>
        <w:tc>
          <w:tcPr>
            <w:tcW w:w="158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Sales per Submission for the periods presented:</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60" w:type="dxa"/>
            <w:vAlign w:val="bottom"/>
            <w:tcBorders>
              <w:top w:val="single" w:sz="8" w:color="B6B6B6"/>
              <w:left w:val="single" w:sz="8" w:color="B6B6B6"/>
            </w:tcBorders>
          </w:tcPr>
          <w:p>
            <w:pPr>
              <w:spacing w:after="0"/>
              <w:rPr>
                <w:sz w:val="17"/>
                <w:szCs w:val="17"/>
                <w:color w:val="auto"/>
              </w:rPr>
            </w:pPr>
          </w:p>
        </w:tc>
        <w:tc>
          <w:tcPr>
            <w:tcW w:w="80" w:type="dxa"/>
            <w:vAlign w:val="bottom"/>
            <w:tcBorders>
              <w:top w:val="single" w:sz="8" w:color="B6B6B6"/>
            </w:tcBorders>
            <w:shd w:val="clear" w:color="auto" w:fill="B6B6B6"/>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ind w:left="220"/>
              <w:spacing w:after="0"/>
              <w:rPr>
                <w:sz w:val="20"/>
                <w:szCs w:val="20"/>
                <w:color w:val="auto"/>
              </w:rPr>
            </w:pPr>
            <w:r>
              <w:rPr>
                <w:rFonts w:ascii="Arial" w:cs="Arial" w:eastAsia="Arial" w:hAnsi="Arial"/>
                <w:sz w:val="14"/>
                <w:szCs w:val="14"/>
                <w:color w:val="auto"/>
              </w:rPr>
              <w:t>Three months ended Sep. 30,</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60" w:type="dxa"/>
            <w:vAlign w:val="bottom"/>
            <w:tcBorders>
              <w:left w:val="single" w:sz="8" w:color="B6B6B6"/>
            </w:tcBorders>
          </w:tcPr>
          <w:p>
            <w:pPr>
              <w:spacing w:after="0"/>
              <w:rPr>
                <w:sz w:val="16"/>
                <w:szCs w:val="16"/>
                <w:color w:val="auto"/>
              </w:rPr>
            </w:pPr>
          </w:p>
        </w:tc>
        <w:tc>
          <w:tcPr>
            <w:tcW w:w="80" w:type="dxa"/>
            <w:vAlign w:val="bottom"/>
            <w:shd w:val="clear" w:color="auto" w:fill="B6B6B6"/>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38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860" w:type="dxa"/>
            <w:vAlign w:val="bottom"/>
            <w:tcBorders>
              <w:left w:val="single" w:sz="8" w:color="B6B6B6"/>
            </w:tcBorders>
            <w:vMerge w:val="restart"/>
          </w:tcPr>
          <w:p>
            <w:pPr>
              <w:ind w:left="1700"/>
              <w:spacing w:after="0"/>
              <w:rPr>
                <w:sz w:val="20"/>
                <w:szCs w:val="20"/>
                <w:color w:val="auto"/>
              </w:rPr>
            </w:pPr>
            <w:r>
              <w:rPr>
                <w:rFonts w:ascii="Arial" w:cs="Arial" w:eastAsia="Arial" w:hAnsi="Arial"/>
                <w:sz w:val="14"/>
                <w:szCs w:val="14"/>
                <w:b w:val="1"/>
                <w:bCs w:val="1"/>
                <w:color w:val="151D8E"/>
              </w:rPr>
              <w:t>Sales per Submission</w:t>
            </w:r>
          </w:p>
        </w:tc>
        <w:tc>
          <w:tcPr>
            <w:tcW w:w="80" w:type="dxa"/>
            <w:vAlign w:val="bottom"/>
            <w:tcBorders>
              <w:top w:val="single" w:sz="8" w:color="B6B6B6"/>
            </w:tcBorders>
            <w:shd w:val="clear" w:color="auto" w:fill="B6B6B6"/>
          </w:tcPr>
          <w:p>
            <w:pPr>
              <w:spacing w:after="0"/>
              <w:rPr>
                <w:sz w:val="16"/>
                <w:szCs w:val="16"/>
                <w:color w:val="auto"/>
              </w:rPr>
            </w:pPr>
          </w:p>
        </w:tc>
        <w:tc>
          <w:tcPr>
            <w:tcW w:w="340" w:type="dxa"/>
            <w:vAlign w:val="bottom"/>
            <w:tcBorders>
              <w:top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6"/>
                <w:szCs w:val="16"/>
                <w:color w:val="auto"/>
              </w:rPr>
            </w:pPr>
          </w:p>
        </w:tc>
        <w:tc>
          <w:tcPr>
            <w:tcW w:w="340" w:type="dxa"/>
            <w:vAlign w:val="bottom"/>
            <w:tcBorders>
              <w:top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702</w:t>
            </w:r>
          </w:p>
        </w:tc>
        <w:tc>
          <w:tcPr>
            <w:tcW w:w="80" w:type="dxa"/>
            <w:vAlign w:val="bottom"/>
          </w:tcPr>
          <w:p>
            <w:pPr>
              <w:spacing w:after="0"/>
              <w:rPr>
                <w:sz w:val="16"/>
                <w:szCs w:val="16"/>
                <w:color w:val="auto"/>
              </w:rPr>
            </w:pPr>
          </w:p>
        </w:tc>
        <w:tc>
          <w:tcPr>
            <w:tcW w:w="260" w:type="dxa"/>
            <w:vAlign w:val="bottom"/>
            <w:tcBorders>
              <w:top w:val="single" w:sz="8" w:color="B6B6B6"/>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6"/>
                <w:szCs w:val="16"/>
                <w:color w:val="auto"/>
              </w:rPr>
            </w:pPr>
          </w:p>
        </w:tc>
        <w:tc>
          <w:tcPr>
            <w:tcW w:w="158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95"/>
        </w:trPr>
        <w:tc>
          <w:tcPr>
            <w:tcW w:w="4860" w:type="dxa"/>
            <w:vAlign w:val="bottom"/>
            <w:tcBorders>
              <w:left w:val="single" w:sz="8" w:color="B6B6B6"/>
            </w:tcBorders>
            <w:vMerge w:val="continue"/>
          </w:tcPr>
          <w:p>
            <w:pPr>
              <w:spacing w:after="0"/>
              <w:rPr>
                <w:sz w:val="16"/>
                <w:szCs w:val="16"/>
                <w:color w:val="auto"/>
              </w:rPr>
            </w:pPr>
          </w:p>
        </w:tc>
        <w:tc>
          <w:tcPr>
            <w:tcW w:w="80" w:type="dxa"/>
            <w:vAlign w:val="bottom"/>
            <w:shd w:val="clear" w:color="auto" w:fill="B6B6B6"/>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vMerge w:val="restart"/>
          </w:tcPr>
          <w:p>
            <w:pPr>
              <w:ind w:left="260"/>
              <w:spacing w:after="0"/>
              <w:rPr>
                <w:sz w:val="20"/>
                <w:szCs w:val="20"/>
                <w:color w:val="auto"/>
              </w:rPr>
            </w:pPr>
            <w:r>
              <w:rPr>
                <w:rFonts w:ascii="Arial" w:cs="Arial" w:eastAsia="Arial" w:hAnsi="Arial"/>
                <w:sz w:val="14"/>
                <w:szCs w:val="14"/>
                <w:color w:val="auto"/>
              </w:rPr>
              <w:t>Nine months ended Sep.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Borders>
              <w:left w:val="single" w:sz="8" w:color="B6B6B6"/>
            </w:tcBorders>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860" w:type="dxa"/>
            <w:vAlign w:val="bottom"/>
            <w:tcBorders>
              <w:left w:val="single" w:sz="8" w:color="B6B6B6"/>
            </w:tcBorders>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38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4860" w:type="dxa"/>
            <w:vAlign w:val="bottom"/>
            <w:tcBorders>
              <w:left w:val="single" w:sz="8" w:color="B6B6B6"/>
              <w:bottom w:val="single" w:sz="8" w:color="B6B6B6"/>
            </w:tcBorders>
          </w:tcPr>
          <w:p>
            <w:pPr>
              <w:spacing w:after="0"/>
              <w:rPr>
                <w:sz w:val="17"/>
                <w:szCs w:val="17"/>
                <w:color w:val="auto"/>
              </w:rPr>
            </w:pPr>
          </w:p>
        </w:tc>
        <w:tc>
          <w:tcPr>
            <w:tcW w:w="80" w:type="dxa"/>
            <w:vAlign w:val="bottom"/>
            <w:tcBorders>
              <w:top w:val="single" w:sz="8" w:color="B6B6B6"/>
              <w:bottom w:val="single" w:sz="8" w:color="B6B6B6"/>
            </w:tcBorders>
            <w:shd w:val="clear" w:color="auto" w:fill="B6B6B6"/>
          </w:tcPr>
          <w:p>
            <w:pPr>
              <w:spacing w:after="0"/>
              <w:rPr>
                <w:sz w:val="17"/>
                <w:szCs w:val="17"/>
                <w:color w:val="auto"/>
              </w:rPr>
            </w:pPr>
          </w:p>
        </w:tc>
        <w:tc>
          <w:tcPr>
            <w:tcW w:w="340" w:type="dxa"/>
            <w:vAlign w:val="bottom"/>
            <w:tcBorders>
              <w:top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669</w:t>
            </w:r>
          </w:p>
        </w:tc>
        <w:tc>
          <w:tcPr>
            <w:tcW w:w="100" w:type="dxa"/>
            <w:vAlign w:val="bottom"/>
          </w:tcPr>
          <w:p>
            <w:pPr>
              <w:spacing w:after="0"/>
              <w:rPr>
                <w:sz w:val="17"/>
                <w:szCs w:val="17"/>
                <w:color w:val="auto"/>
              </w:rPr>
            </w:pPr>
          </w:p>
        </w:tc>
        <w:tc>
          <w:tcPr>
            <w:tcW w:w="340" w:type="dxa"/>
            <w:vAlign w:val="bottom"/>
            <w:tcBorders>
              <w:top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761</w:t>
            </w:r>
          </w:p>
        </w:tc>
        <w:tc>
          <w:tcPr>
            <w:tcW w:w="80" w:type="dxa"/>
            <w:vAlign w:val="bottom"/>
            <w:tcBorders>
              <w:top w:val="single" w:sz="8" w:color="929292"/>
            </w:tcBorders>
          </w:tcPr>
          <w:p>
            <w:pPr>
              <w:spacing w:after="0"/>
              <w:rPr>
                <w:sz w:val="17"/>
                <w:szCs w:val="17"/>
                <w:color w:val="auto"/>
              </w:rPr>
            </w:pPr>
          </w:p>
        </w:tc>
        <w:tc>
          <w:tcPr>
            <w:tcW w:w="260" w:type="dxa"/>
            <w:vAlign w:val="bottom"/>
            <w:tcBorders>
              <w:top w:val="single" w:sz="8" w:color="B6B6B6"/>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158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Direct Operating Cost per Submission for the periods presented:</w:t>
      </w:r>
    </w:p>
    <w:p>
      <w:pPr>
        <w:spacing w:after="0" w:line="269" w:lineRule="exact"/>
        <w:rPr>
          <w:sz w:val="20"/>
          <w:szCs w:val="20"/>
          <w:color w:val="auto"/>
        </w:rPr>
      </w:pPr>
    </w:p>
    <w:tbl>
      <w:tblPr>
        <w:tblLayout w:type="fixed"/>
        <w:tblInd w:w="90" w:type="dxa"/>
        <w:tblCellMar>
          <w:top w:w="0" w:type="dxa"/>
          <w:left w:w="0" w:type="dxa"/>
          <w:bottom w:w="0" w:type="dxa"/>
          <w:right w:w="0" w:type="dxa"/>
        </w:tblCellMar>
      </w:tblPr>
      <w:tr>
        <w:trPr>
          <w:trHeight w:val="207"/>
        </w:trPr>
        <w:tc>
          <w:tcPr>
            <w:tcW w:w="4840" w:type="dxa"/>
            <w:vAlign w:val="bottom"/>
            <w:tcBorders>
              <w:top w:val="single" w:sz="8" w:color="B6B6B6"/>
              <w:left w:val="single" w:sz="8" w:color="B6B6B6"/>
            </w:tcBorders>
          </w:tcPr>
          <w:p>
            <w:pPr>
              <w:spacing w:after="0"/>
              <w:rPr>
                <w:sz w:val="17"/>
                <w:szCs w:val="17"/>
                <w:color w:val="auto"/>
              </w:rPr>
            </w:pPr>
          </w:p>
        </w:tc>
        <w:tc>
          <w:tcPr>
            <w:tcW w:w="100" w:type="dxa"/>
            <w:vAlign w:val="bottom"/>
            <w:tcBorders>
              <w:top w:val="single" w:sz="8" w:color="B6B6B6"/>
            </w:tcBorders>
            <w:shd w:val="clear" w:color="auto" w:fill="B6B6B6"/>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color w:val="auto"/>
              </w:rPr>
              <w:t>Three months ended Sep. 30,</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40" w:type="dxa"/>
            <w:vAlign w:val="bottom"/>
            <w:tcBorders>
              <w:left w:val="single" w:sz="8" w:color="B6B6B6"/>
            </w:tcBorders>
          </w:tcPr>
          <w:p>
            <w:pPr>
              <w:spacing w:after="0"/>
              <w:rPr>
                <w:sz w:val="16"/>
                <w:szCs w:val="16"/>
                <w:color w:val="auto"/>
              </w:rPr>
            </w:pPr>
          </w:p>
        </w:tc>
        <w:tc>
          <w:tcPr>
            <w:tcW w:w="100" w:type="dxa"/>
            <w:vAlign w:val="bottom"/>
            <w:shd w:val="clear" w:color="auto" w:fill="B6B6B6"/>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ind w:left="240"/>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00" w:type="dxa"/>
            <w:vAlign w:val="bottom"/>
          </w:tcPr>
          <w:p>
            <w:pPr>
              <w:jc w:val="right"/>
              <w:ind w:right="34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840" w:type="dxa"/>
            <w:vAlign w:val="bottom"/>
            <w:tcBorders>
              <w:left w:val="single" w:sz="8" w:color="B6B6B6"/>
            </w:tcBorders>
            <w:vMerge w:val="restart"/>
          </w:tcPr>
          <w:p>
            <w:pPr>
              <w:ind w:left="1120"/>
              <w:spacing w:after="0"/>
              <w:rPr>
                <w:sz w:val="20"/>
                <w:szCs w:val="20"/>
                <w:color w:val="auto"/>
              </w:rPr>
            </w:pPr>
            <w:r>
              <w:rPr>
                <w:rFonts w:ascii="Arial" w:cs="Arial" w:eastAsia="Arial" w:hAnsi="Arial"/>
                <w:sz w:val="14"/>
                <w:szCs w:val="14"/>
                <w:b w:val="1"/>
                <w:bCs w:val="1"/>
                <w:color w:val="151D8E"/>
              </w:rPr>
              <w:t>Direct Operating Cost per Submission</w:t>
            </w:r>
          </w:p>
        </w:tc>
        <w:tc>
          <w:tcPr>
            <w:tcW w:w="100" w:type="dxa"/>
            <w:vAlign w:val="bottom"/>
            <w:tcBorders>
              <w:top w:val="single" w:sz="8" w:color="B6B6B6"/>
            </w:tcBorders>
            <w:shd w:val="clear" w:color="auto" w:fill="B6B6B6"/>
          </w:tcPr>
          <w:p>
            <w:pPr>
              <w:spacing w:after="0"/>
              <w:rPr>
                <w:sz w:val="16"/>
                <w:szCs w:val="16"/>
                <w:color w:val="auto"/>
              </w:rPr>
            </w:pPr>
          </w:p>
        </w:tc>
        <w:tc>
          <w:tcPr>
            <w:tcW w:w="320" w:type="dxa"/>
            <w:vAlign w:val="bottom"/>
            <w:tcBorders>
              <w:top w:val="single" w:sz="8" w:color="B6B6B6"/>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756</w:t>
            </w:r>
          </w:p>
        </w:tc>
        <w:tc>
          <w:tcPr>
            <w:tcW w:w="80" w:type="dxa"/>
            <w:vAlign w:val="bottom"/>
          </w:tcPr>
          <w:p>
            <w:pPr>
              <w:spacing w:after="0"/>
              <w:rPr>
                <w:sz w:val="16"/>
                <w:szCs w:val="16"/>
                <w:color w:val="auto"/>
              </w:rPr>
            </w:pPr>
          </w:p>
        </w:tc>
        <w:tc>
          <w:tcPr>
            <w:tcW w:w="340" w:type="dxa"/>
            <w:vAlign w:val="bottom"/>
            <w:tcBorders>
              <w:top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16"/>
                <w:szCs w:val="16"/>
                <w:color w:val="auto"/>
              </w:rPr>
            </w:pPr>
          </w:p>
        </w:tc>
        <w:tc>
          <w:tcPr>
            <w:tcW w:w="260" w:type="dxa"/>
            <w:vAlign w:val="bottom"/>
            <w:tcBorders>
              <w:top w:val="single" w:sz="8" w:color="B6B6B6"/>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6"/>
                <w:szCs w:val="16"/>
                <w:color w:val="auto"/>
              </w:rPr>
            </w:pPr>
          </w:p>
        </w:tc>
        <w:tc>
          <w:tcPr>
            <w:tcW w:w="150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14.0 %</w:t>
            </w:r>
          </w:p>
        </w:tc>
        <w:tc>
          <w:tcPr>
            <w:tcW w:w="0" w:type="dxa"/>
            <w:vAlign w:val="bottom"/>
          </w:tcPr>
          <w:p>
            <w:pPr>
              <w:spacing w:after="0"/>
              <w:rPr>
                <w:sz w:val="1"/>
                <w:szCs w:val="1"/>
                <w:color w:val="auto"/>
              </w:rPr>
            </w:pPr>
          </w:p>
        </w:tc>
      </w:tr>
      <w:tr>
        <w:trPr>
          <w:trHeight w:val="195"/>
        </w:trPr>
        <w:tc>
          <w:tcPr>
            <w:tcW w:w="4840" w:type="dxa"/>
            <w:vAlign w:val="bottom"/>
            <w:tcBorders>
              <w:left w:val="single" w:sz="8" w:color="B6B6B6"/>
            </w:tcBorders>
            <w:vMerge w:val="continue"/>
          </w:tcPr>
          <w:p>
            <w:pPr>
              <w:spacing w:after="0"/>
              <w:rPr>
                <w:sz w:val="16"/>
                <w:szCs w:val="16"/>
                <w:color w:val="auto"/>
              </w:rPr>
            </w:pPr>
          </w:p>
        </w:tc>
        <w:tc>
          <w:tcPr>
            <w:tcW w:w="100" w:type="dxa"/>
            <w:vAlign w:val="bottom"/>
            <w:shd w:val="clear" w:color="auto" w:fill="B6B6B6"/>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vMerge w:val="restart"/>
          </w:tcPr>
          <w:p>
            <w:pPr>
              <w:ind w:left="280"/>
              <w:spacing w:after="0"/>
              <w:rPr>
                <w:sz w:val="20"/>
                <w:szCs w:val="20"/>
                <w:color w:val="auto"/>
              </w:rPr>
            </w:pPr>
            <w:r>
              <w:rPr>
                <w:rFonts w:ascii="Arial" w:cs="Arial" w:eastAsia="Arial" w:hAnsi="Arial"/>
                <w:sz w:val="14"/>
                <w:szCs w:val="14"/>
                <w:color w:val="auto"/>
              </w:rPr>
              <w:t>Nine months ended Sep.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40" w:type="dxa"/>
            <w:vAlign w:val="bottom"/>
            <w:tcBorders>
              <w:left w:val="single" w:sz="8" w:color="B6B6B6"/>
            </w:tcBorders>
          </w:tcPr>
          <w:p>
            <w:pPr>
              <w:spacing w:after="0"/>
              <w:rPr>
                <w:sz w:val="14"/>
                <w:szCs w:val="14"/>
                <w:color w:val="auto"/>
              </w:rPr>
            </w:pPr>
          </w:p>
        </w:tc>
        <w:tc>
          <w:tcPr>
            <w:tcW w:w="100" w:type="dxa"/>
            <w:vAlign w:val="bottom"/>
            <w:shd w:val="clear" w:color="auto" w:fill="B6B6B6"/>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840" w:type="dxa"/>
            <w:vAlign w:val="bottom"/>
            <w:tcBorders>
              <w:left w:val="single" w:sz="8" w:color="B6B6B6"/>
            </w:tcBorders>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00" w:type="dxa"/>
            <w:vAlign w:val="bottom"/>
          </w:tcPr>
          <w:p>
            <w:pPr>
              <w:jc w:val="right"/>
              <w:ind w:right="34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4840" w:type="dxa"/>
            <w:vAlign w:val="bottom"/>
            <w:tcBorders>
              <w:left w:val="single" w:sz="8" w:color="B6B6B6"/>
              <w:bottom w:val="single" w:sz="8" w:color="B6B6B6"/>
            </w:tcBorders>
          </w:tcPr>
          <w:p>
            <w:pPr>
              <w:spacing w:after="0"/>
              <w:rPr>
                <w:sz w:val="17"/>
                <w:szCs w:val="17"/>
                <w:color w:val="auto"/>
              </w:rPr>
            </w:pPr>
          </w:p>
        </w:tc>
        <w:tc>
          <w:tcPr>
            <w:tcW w:w="100" w:type="dxa"/>
            <w:vAlign w:val="bottom"/>
            <w:tcBorders>
              <w:top w:val="single" w:sz="8" w:color="B6B6B6"/>
              <w:bottom w:val="single" w:sz="8" w:color="B6B6B6"/>
            </w:tcBorders>
            <w:shd w:val="clear" w:color="auto" w:fill="B6B6B6"/>
          </w:tcPr>
          <w:p>
            <w:pPr>
              <w:spacing w:after="0"/>
              <w:rPr>
                <w:sz w:val="17"/>
                <w:szCs w:val="17"/>
                <w:color w:val="auto"/>
              </w:rPr>
            </w:pPr>
          </w:p>
        </w:tc>
        <w:tc>
          <w:tcPr>
            <w:tcW w:w="320" w:type="dxa"/>
            <w:vAlign w:val="bottom"/>
            <w:tcBorders>
              <w:top w:val="single" w:sz="8" w:color="B6B6B6"/>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579</w:t>
            </w:r>
          </w:p>
        </w:tc>
        <w:tc>
          <w:tcPr>
            <w:tcW w:w="80" w:type="dxa"/>
            <w:vAlign w:val="bottom"/>
          </w:tcPr>
          <w:p>
            <w:pPr>
              <w:spacing w:after="0"/>
              <w:rPr>
                <w:sz w:val="17"/>
                <w:szCs w:val="17"/>
                <w:color w:val="auto"/>
              </w:rPr>
            </w:pPr>
          </w:p>
        </w:tc>
        <w:tc>
          <w:tcPr>
            <w:tcW w:w="340" w:type="dxa"/>
            <w:vAlign w:val="bottom"/>
            <w:tcBorders>
              <w:top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7"/>
                <w:szCs w:val="17"/>
                <w:color w:val="auto"/>
              </w:rPr>
            </w:pPr>
          </w:p>
        </w:tc>
        <w:tc>
          <w:tcPr>
            <w:tcW w:w="260" w:type="dxa"/>
            <w:vAlign w:val="bottom"/>
            <w:tcBorders>
              <w:top w:val="single" w:sz="8" w:color="B6B6B6"/>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7"/>
                <w:szCs w:val="17"/>
                <w:color w:val="auto"/>
              </w:rPr>
            </w:pPr>
          </w:p>
        </w:tc>
        <w:tc>
          <w:tcPr>
            <w:tcW w:w="150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Direct Operating Cost of Submission (in thousands) and Sales/Direct Operating Cost of Submission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2480" w:type="dxa"/>
            <w:vAlign w:val="bottom"/>
            <w:gridSpan w:val="4"/>
          </w:tcPr>
          <w:p>
            <w:pPr>
              <w:ind w:left="580"/>
              <w:spacing w:after="0"/>
              <w:rPr>
                <w:sz w:val="20"/>
                <w:szCs w:val="20"/>
                <w:color w:val="auto"/>
              </w:rPr>
            </w:pPr>
            <w:r>
              <w:rPr>
                <w:rFonts w:ascii="Arial" w:cs="Arial" w:eastAsia="Arial" w:hAnsi="Arial"/>
                <w:sz w:val="14"/>
                <w:szCs w:val="14"/>
                <w:color w:val="auto"/>
              </w:rPr>
              <w:t>Three months ended Sep. 30,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jc w:val="right"/>
              <w:ind w:right="548"/>
              <w:spacing w:after="0"/>
              <w:rPr>
                <w:sz w:val="20"/>
                <w:szCs w:val="20"/>
                <w:color w:val="auto"/>
              </w:rPr>
            </w:pPr>
            <w:r>
              <w:rPr>
                <w:rFonts w:ascii="Arial" w:cs="Arial" w:eastAsia="Arial" w:hAnsi="Arial"/>
                <w:sz w:val="14"/>
                <w:szCs w:val="14"/>
                <w:color w:val="auto"/>
              </w:rPr>
              <w:t>Nine months ended Sep. 30,</w:t>
            </w:r>
          </w:p>
        </w:tc>
      </w:tr>
      <w:tr>
        <w:trPr>
          <w:trHeight w:val="194"/>
        </w:trPr>
        <w:tc>
          <w:tcPr>
            <w:tcW w:w="4900" w:type="dxa"/>
            <w:vAlign w:val="bottom"/>
            <w:tcBorders>
              <w:bottom w:val="single" w:sz="8" w:color="B6B6B6"/>
            </w:tcBorders>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940" w:type="dxa"/>
            <w:vAlign w:val="bottom"/>
            <w:tcBorders>
              <w:bottom w:val="single" w:sz="8" w:color="B6B6B6"/>
            </w:tcBorders>
          </w:tcPr>
          <w:p>
            <w:pPr>
              <w:ind w:left="580"/>
              <w:spacing w:after="0"/>
              <w:rPr>
                <w:sz w:val="20"/>
                <w:szCs w:val="20"/>
                <w:color w:val="auto"/>
              </w:rPr>
            </w:pPr>
            <w:r>
              <w:rPr>
                <w:rFonts w:ascii="Arial" w:cs="Arial" w:eastAsia="Arial" w:hAnsi="Arial"/>
                <w:sz w:val="14"/>
                <w:szCs w:val="14"/>
                <w:color w:val="auto"/>
              </w:rPr>
              <w:t>2025</w:t>
            </w:r>
          </w:p>
        </w:tc>
        <w:tc>
          <w:tcPr>
            <w:tcW w:w="54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2024</w:t>
            </w:r>
          </w:p>
        </w:tc>
        <w:tc>
          <w:tcPr>
            <w:tcW w:w="58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2024</w:t>
            </w:r>
          </w:p>
        </w:tc>
      </w:tr>
      <w:tr>
        <w:trPr>
          <w:trHeight w:val="192"/>
        </w:trPr>
        <w:tc>
          <w:tcPr>
            <w:tcW w:w="4900" w:type="dxa"/>
            <w:vAlign w:val="bottom"/>
          </w:tcPr>
          <w:p>
            <w:pPr>
              <w:ind w:left="20"/>
              <w:spacing w:after="0"/>
              <w:rPr>
                <w:sz w:val="20"/>
                <w:szCs w:val="20"/>
                <w:color w:val="auto"/>
              </w:rPr>
            </w:pPr>
            <w:r>
              <w:rPr>
                <w:rFonts w:ascii="Arial" w:cs="Arial" w:eastAsia="Arial" w:hAnsi="Arial"/>
                <w:sz w:val="14"/>
                <w:szCs w:val="14"/>
                <w:color w:val="auto"/>
              </w:rPr>
              <w:t>Direct Operating Cost of Submission</w:t>
            </w:r>
          </w:p>
        </w:tc>
        <w:tc>
          <w:tcPr>
            <w:tcW w:w="100" w:type="dxa"/>
            <w:vAlign w:val="bottom"/>
            <w:shd w:val="clear" w:color="auto" w:fill="B6B6B6"/>
          </w:tcPr>
          <w:p>
            <w:pPr>
              <w:spacing w:after="0"/>
              <w:rPr>
                <w:sz w:val="16"/>
                <w:szCs w:val="16"/>
                <w:color w:val="auto"/>
              </w:rPr>
            </w:pP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54,547</w:t>
            </w:r>
          </w:p>
        </w:tc>
        <w:tc>
          <w:tcPr>
            <w:tcW w:w="100" w:type="dxa"/>
            <w:vAlign w:val="bottom"/>
          </w:tcPr>
          <w:p>
            <w:pPr>
              <w:spacing w:after="0"/>
              <w:rPr>
                <w:sz w:val="16"/>
                <w:szCs w:val="16"/>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110,245</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299,036</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346,112</w:t>
            </w:r>
          </w:p>
        </w:tc>
      </w:tr>
      <w:tr>
        <w:trPr>
          <w:trHeight w:val="210"/>
        </w:trPr>
        <w:tc>
          <w:tcPr>
            <w:tcW w:w="4900" w:type="dxa"/>
            <w:vAlign w:val="bottom"/>
          </w:tcPr>
          <w:p>
            <w:pPr>
              <w:ind w:left="20"/>
              <w:spacing w:after="0"/>
              <w:rPr>
                <w:sz w:val="20"/>
                <w:szCs w:val="20"/>
                <w:color w:val="auto"/>
              </w:rPr>
            </w:pPr>
            <w:r>
              <w:rPr>
                <w:rFonts w:ascii="Arial" w:cs="Arial" w:eastAsia="Arial" w:hAnsi="Arial"/>
                <w:sz w:val="14"/>
                <w:szCs w:val="14"/>
                <w:color w:val="auto"/>
              </w:rPr>
              <w:t>Sales/Direct Operating Cost of Submission</w:t>
            </w:r>
          </w:p>
        </w:tc>
        <w:tc>
          <w:tcPr>
            <w:tcW w:w="100" w:type="dxa"/>
            <w:vAlign w:val="bottom"/>
            <w:shd w:val="clear" w:color="auto" w:fill="B6B6B6"/>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sectPr>
      <w:pgSz w:w="11900" w:h="16838" w:orient="portrait"/>
      <w:cols w:equalWidth="0" w:num="1">
        <w:col w:w="11240"/>
      </w:cols>
      <w:pgMar w:left="320" w:top="7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2025-11-13T06:17:28Z</dcterms:created>
  <dcterms:modified xsi:type="dcterms:W3CDTF">2025-11-13T06:17:28Z</dcterms:modified>
</cp:coreProperties>
</file>