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FORM 8-K</w:t>
      </w: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May 10, 2022</w:t>
      </w:r>
    </w:p>
    <w:p>
      <w:pPr>
        <w:spacing w:after="0" w:line="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26" w:right="339" w:bottom="1440" w:gutter="0" w:footer="0" w:header="0"/>
        </w:sectPr>
      </w:pPr>
    </w:p>
    <w:p>
      <w:pPr>
        <w:spacing w:after="0" w:line="140"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79" w:lineRule="exact"/>
        <w:rPr>
          <w:sz w:val="24"/>
          <w:szCs w:val="24"/>
          <w:color w:val="auto"/>
        </w:rPr>
      </w:pPr>
    </w:p>
    <w:p>
      <w:pPr>
        <w:sectPr>
          <w:pgSz w:w="11900" w:h="16838" w:orient="portrait"/>
          <w:cols w:equalWidth="0" w:num="3">
            <w:col w:w="4500" w:space="720"/>
            <w:col w:w="3000" w:space="720"/>
            <w:col w:w="2300"/>
          </w:cols>
          <w:pgMar w:left="320" w:top="1426"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26" w:right="339" w:bottom="1440" w:gutter="0" w:footer="0" w:header="0"/>
          <w:type w:val="continuous"/>
        </w:sectPr>
      </w:pPr>
    </w:p>
    <w:p>
      <w:pPr>
        <w:spacing w:after="0" w:line="69"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426"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79" w:lineRule="exact"/>
        <w:rPr>
          <w:sz w:val="24"/>
          <w:szCs w:val="24"/>
          <w:color w:val="auto"/>
        </w:rPr>
      </w:pPr>
    </w:p>
    <w:p>
      <w:pPr>
        <w:sectPr>
          <w:pgSz w:w="11900" w:h="16838" w:orient="portrait"/>
          <w:cols w:equalWidth="0" w:num="2">
            <w:col w:w="7440" w:space="720"/>
            <w:col w:w="3080"/>
          </w:cols>
          <w:pgMar w:left="320" w:top="1426"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26" w:right="339" w:bottom="1440" w:gutter="0" w:footer="0" w:header="0"/>
          <w:type w:val="continuous"/>
        </w:sectPr>
      </w:pP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6"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8"/>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19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1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5"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2.02.</w:t>
        <w:tab/>
        <w:t>Results of Operations and Financial Condition.</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May 10, 2022, GoHealth, Inc. issued a press release announcing its financial results for the quarter ended March 31, 2022. A copy of the press release is furnished as Exhibit 99.1 to this Current Report on Form 8-K.</w:t>
      </w:r>
    </w:p>
    <w:p>
      <w:pPr>
        <w:spacing w:after="0" w:line="8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3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6"/>
                <w:szCs w:val="16"/>
                <w:b w:val="1"/>
                <w:bCs w:val="1"/>
                <w:color w:val="auto"/>
              </w:rPr>
              <w:t>Exhibit Description</w:t>
            </w:r>
          </w:p>
        </w:tc>
      </w:tr>
      <w:tr>
        <w:trPr>
          <w:trHeight w:val="172"/>
        </w:trPr>
        <w:tc>
          <w:tcPr>
            <w:tcW w:w="130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color w:val="auto"/>
              </w:rPr>
              <w:t>99.1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520" w:type="dxa"/>
            <w:vAlign w:val="bottom"/>
            <w:tcBorders>
              <w:top w:val="single" w:sz="8" w:color="auto"/>
              <w:bottom w:val="single" w:sz="8" w:color="0000FF"/>
            </w:tcBorders>
          </w:tcPr>
          <w:p>
            <w:pPr>
              <w:spacing w:after="0" w:line="172" w:lineRule="exact"/>
              <w:rPr>
                <w:rFonts w:ascii="Arial" w:cs="Arial" w:eastAsia="Arial" w:hAnsi="Arial"/>
                <w:sz w:val="16"/>
                <w:szCs w:val="16"/>
                <w:color w:val="0000FF"/>
              </w:rPr>
            </w:pPr>
            <w:hyperlink w:anchor="page4">
              <w:r>
                <w:rPr>
                  <w:rFonts w:ascii="Arial" w:cs="Arial" w:eastAsia="Arial" w:hAnsi="Arial"/>
                  <w:sz w:val="16"/>
                  <w:szCs w:val="16"/>
                  <w:color w:val="0000FF"/>
                </w:rPr>
                <w:t>Press release, dated May 10, 2022</w:t>
              </w:r>
            </w:hyperlink>
          </w:p>
        </w:tc>
        <w:tc>
          <w:tcPr>
            <w:tcW w:w="7320" w:type="dxa"/>
            <w:vAlign w:val="bottom"/>
            <w:tcBorders>
              <w:top w:val="single" w:sz="8" w:color="auto"/>
            </w:tcBorders>
          </w:tcPr>
          <w:p>
            <w:pPr>
              <w:spacing w:after="0"/>
              <w:rPr>
                <w:sz w:val="14"/>
                <w:szCs w:val="14"/>
                <w:color w:val="auto"/>
              </w:rPr>
            </w:pPr>
          </w:p>
        </w:tc>
      </w:tr>
      <w:tr>
        <w:trPr>
          <w:trHeight w:val="231"/>
        </w:trPr>
        <w:tc>
          <w:tcPr>
            <w:tcW w:w="1300" w:type="dxa"/>
            <w:vAlign w:val="bottom"/>
          </w:tcPr>
          <w:p>
            <w:pPr>
              <w:jc w:val="right"/>
              <w:ind w:right="439"/>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985"/>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20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May 10, 2022</w:t>
      </w:r>
      <w:r>
        <w:rPr>
          <w:sz w:val="20"/>
          <w:szCs w:val="20"/>
          <w:color w:val="auto"/>
        </w:rPr>
        <w:tab/>
      </w:r>
      <w:r>
        <w:rPr>
          <w:rFonts w:ascii="Arial" w:cs="Arial" w:eastAsia="Arial" w:hAnsi="Arial"/>
          <w:sz w:val="15"/>
          <w:szCs w:val="15"/>
          <w:color w:val="auto"/>
        </w:rPr>
        <w:t>By: /s/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Travis J. Matthiesen</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Interim Chief Financial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20"/>
          </w:cols>
          <w:pgMar w:left="320" w:top="999" w:right="359" w:bottom="1440" w:gutter="0" w:footer="0" w:header="0"/>
        </w:sectPr>
      </w:pPr>
    </w:p>
    <w:bookmarkStart w:id="3" w:name="page4"/>
    <w:bookmarkEnd w:id="3"/>
    <w:p>
      <w:pPr>
        <w:ind w:left="10560"/>
        <w:spacing w:after="0"/>
        <w:rPr>
          <w:sz w:val="20"/>
          <w:szCs w:val="20"/>
          <w:color w:val="auto"/>
        </w:rPr>
      </w:pPr>
      <w:r>
        <w:rPr>
          <w:rFonts w:ascii="Arial" w:cs="Arial" w:eastAsia="Arial" w:hAnsi="Arial"/>
          <w:sz w:val="13"/>
          <w:szCs w:val="13"/>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11430</wp:posOffset>
            </wp:positionV>
            <wp:extent cx="108013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0135" cy="565785"/>
                    </a:xfrm>
                    <a:prstGeom prst="rect">
                      <a:avLst/>
                    </a:prstGeom>
                    <a:noFill/>
                  </pic:spPr>
                </pic:pic>
              </a:graphicData>
            </a:graphic>
          </wp:anchor>
        </w:drawing>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A2299"/>
        </w:rPr>
        <w:t>GoHealth Reports First Quarter 2022 Results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6D6D6D"/>
        </w:rPr>
        <w:t>Reaffirms Full-Year Guidance</w:t>
      </w:r>
    </w:p>
    <w:p>
      <w:pPr>
        <w:spacing w:after="0" w:line="200" w:lineRule="exact"/>
        <w:rPr>
          <w:sz w:val="20"/>
          <w:szCs w:val="20"/>
          <w:color w:val="auto"/>
        </w:rPr>
      </w:pPr>
    </w:p>
    <w:p>
      <w:pPr>
        <w:spacing w:after="0" w:line="214" w:lineRule="exact"/>
        <w:rPr>
          <w:sz w:val="20"/>
          <w:szCs w:val="20"/>
          <w:color w:val="auto"/>
        </w:rPr>
      </w:pPr>
    </w:p>
    <w:p>
      <w:pPr>
        <w:ind w:right="440"/>
        <w:spacing w:after="0" w:line="281" w:lineRule="auto"/>
        <w:rPr>
          <w:sz w:val="20"/>
          <w:szCs w:val="20"/>
          <w:color w:val="auto"/>
        </w:rPr>
      </w:pPr>
      <w:r>
        <w:rPr>
          <w:rFonts w:ascii="Arial" w:cs="Arial" w:eastAsia="Arial" w:hAnsi="Arial"/>
          <w:sz w:val="16"/>
          <w:szCs w:val="16"/>
          <w:i w:val="1"/>
          <w:iCs w:val="1"/>
          <w:color w:val="auto"/>
        </w:rPr>
        <w:t xml:space="preserve">CHICAGO, May 10, 2022 </w:t>
      </w:r>
      <w:r>
        <w:rPr>
          <w:rFonts w:ascii="Arial" w:cs="Arial" w:eastAsia="Arial" w:hAnsi="Arial"/>
          <w:sz w:val="16"/>
          <w:szCs w:val="16"/>
          <w:color w:val="auto"/>
        </w:rPr>
        <w:t>— GoHealth, Inc. (NASDAQ: GOCO), a leading health insurance marketplace and Medicare-focused digital health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announced financial results 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60960</wp:posOffset>
            </wp:positionV>
            <wp:extent cx="17145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24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First quarter 2022 net revenue of $270.6 million increased 33%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139065</wp:posOffset>
            </wp:positionV>
            <wp:extent cx="17145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279" w:lineRule="exact"/>
        <w:rPr>
          <w:sz w:val="20"/>
          <w:szCs w:val="20"/>
          <w:color w:val="auto"/>
        </w:rPr>
      </w:pPr>
    </w:p>
    <w:p>
      <w:pPr>
        <w:ind w:left="560" w:right="720"/>
        <w:spacing w:after="0" w:line="202" w:lineRule="auto"/>
        <w:rPr>
          <w:sz w:val="20"/>
          <w:szCs w:val="20"/>
          <w:color w:val="auto"/>
        </w:rPr>
      </w:pPr>
      <w:r>
        <w:rPr>
          <w:rFonts w:ascii="Arial" w:cs="Arial" w:eastAsia="Arial" w:hAnsi="Arial"/>
          <w:sz w:val="16"/>
          <w:szCs w:val="16"/>
          <w:color w:val="auto"/>
        </w:rPr>
        <w:t>First quarter 2022 net loss of $37.2 million compared to a net loss of $7.3 million in the prior year period;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$11.1 million decreased 65%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116205</wp:posOffset>
            </wp:positionV>
            <wp:extent cx="17145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3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First quarter 2022 Medicare Submitted Policies of 300,643 increased 62%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139065</wp:posOffset>
            </wp:positionV>
            <wp:extent cx="17145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 flow from operations increased 75% to $54.5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156210</wp:posOffset>
            </wp:positionV>
            <wp:extent cx="179705"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705" cy="257175"/>
                    </a:xfrm>
                    <a:prstGeom prst="rect">
                      <a:avLst/>
                    </a:prstGeom>
                    <a:noFill/>
                  </pic:spPr>
                </pic:pic>
              </a:graphicData>
            </a:graphic>
          </wp:anchor>
        </w:drawing>
      </w:r>
    </w:p>
    <w:p>
      <w:pPr>
        <w:spacing w:after="0" w:line="228" w:lineRule="exact"/>
        <w:rPr>
          <w:sz w:val="20"/>
          <w:szCs w:val="20"/>
          <w:color w:val="auto"/>
        </w:rPr>
      </w:pPr>
    </w:p>
    <w:p>
      <w:pPr>
        <w:jc w:val="both"/>
        <w:ind w:left="560" w:right="240"/>
        <w:spacing w:after="0" w:line="204" w:lineRule="auto"/>
        <w:rPr>
          <w:sz w:val="20"/>
          <w:szCs w:val="20"/>
          <w:color w:val="auto"/>
        </w:rPr>
      </w:pPr>
      <w:r>
        <w:rPr>
          <w:rFonts w:ascii="Arial" w:cs="Arial" w:eastAsia="Arial" w:hAnsi="Arial"/>
          <w:sz w:val="16"/>
          <w:szCs w:val="16"/>
          <w:color w:val="auto"/>
        </w:rPr>
        <w:t>The Company reaffirmed its full-year 2022 outlook, and expects total net revenue of $900 - $1,100 million (-15% to +4%) powered by commission revenue of $700 - $900 million (-21% to +2%). The Company expects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$110 - $150 million (+224% to +343%). The Company also expects negative cash flow from operations of $50 - $10 million (+83% to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40575" cy="1320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1320165"/>
                    </a:xfrm>
                    <a:prstGeom prst="rect">
                      <a:avLst/>
                    </a:prstGeom>
                    <a:noFill/>
                  </pic:spPr>
                </pic:pic>
              </a:graphicData>
            </a:graphic>
          </wp:anchor>
        </w:drawing>
      </w:r>
    </w:p>
    <w:p>
      <w:pPr>
        <w:spacing w:after="0" w:line="245" w:lineRule="exact"/>
        <w:rPr>
          <w:sz w:val="20"/>
          <w:szCs w:val="20"/>
          <w:color w:val="auto"/>
        </w:rPr>
      </w:pPr>
    </w:p>
    <w:p>
      <w:pPr>
        <w:jc w:val="both"/>
        <w:ind w:left="40" w:right="20"/>
        <w:spacing w:after="0" w:line="233" w:lineRule="auto"/>
        <w:rPr>
          <w:sz w:val="20"/>
          <w:szCs w:val="20"/>
          <w:color w:val="auto"/>
        </w:rPr>
      </w:pPr>
      <w:r>
        <w:rPr>
          <w:rFonts w:ascii="Arial" w:cs="Arial" w:eastAsia="Arial" w:hAnsi="Arial"/>
          <w:sz w:val="16"/>
          <w:szCs w:val="16"/>
          <w:color w:val="auto"/>
        </w:rPr>
        <w:t>Clint Jones, co-founder and CEO said, "I want to thank our people for their continued commitment to our mission. We executed well given our operating strategy to slow our growth and optimize the customer experience. We were pleased with our first quarter results, which finished in-line with our internal expectations and observed promising operating results that accelerated towards the end of the quarter, including reduced marketing costs per submission, higher quality rates and lower CTM rates, and strong agent retention results, all while executing on our cost optimization strategy. While the impacts of this strategy do not fully flow through our first quarter results, we expect to see the financial benefits throughout the year as we continue to focus on cash flow generation.”</w:t>
      </w:r>
    </w:p>
    <w:p>
      <w:pPr>
        <w:spacing w:after="0" w:line="224" w:lineRule="exact"/>
        <w:rPr>
          <w:sz w:val="20"/>
          <w:szCs w:val="20"/>
          <w:color w:val="auto"/>
        </w:rPr>
      </w:pPr>
    </w:p>
    <w:p>
      <w:pPr>
        <w:ind w:left="40" w:right="200"/>
        <w:spacing w:after="0" w:line="235" w:lineRule="auto"/>
        <w:rPr>
          <w:sz w:val="20"/>
          <w:szCs w:val="20"/>
          <w:color w:val="auto"/>
        </w:rPr>
      </w:pPr>
      <w:r>
        <w:rPr>
          <w:rFonts w:ascii="Arial" w:cs="Arial" w:eastAsia="Arial" w:hAnsi="Arial"/>
          <w:sz w:val="16"/>
          <w:szCs w:val="16"/>
          <w:color w:val="auto"/>
        </w:rPr>
        <w:t>Jones continued, “We’re proud to announce that we are expanding our Encompass Platform to serve our carrier partners as a holistic Enterprise Solution. We’ve expanded our capabilities to serve our carrier partners’ most pressing needs, introducing two new modules – Encompass Connect and Encompass Engage. We plan to share more information about the details of Encompass as a Service in coming quarters as we seek out opportunities to drive differentiated value to our partners and members.”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First Quarter 2022 Highlights</w:t>
      </w:r>
      <w:r>
        <w:rPr>
          <w:rFonts w:ascii="Arial" w:cs="Arial" w:eastAsia="Arial" w:hAnsi="Arial"/>
          <w:sz w:val="21"/>
          <w:szCs w:val="21"/>
          <w:b w:val="1"/>
          <w:bCs w:val="1"/>
          <w:color w:val="0A2299"/>
          <w:vertAlign w:val="superscript"/>
        </w:rPr>
        <w:t>2</w:t>
      </w:r>
    </w:p>
    <w:p>
      <w:pPr>
        <w:spacing w:after="0" w:line="76"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company revenue grew 33% to $270.6 million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Medicare—Internal net revenue increased 30% to $203.8 million</w:t>
      </w:r>
    </w:p>
    <w:p>
      <w:pPr>
        <w:spacing w:after="0" w:line="110"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decreased 65% to $11.1 million, resulting in Adjusted EBITDA margin of 4.1%</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74"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0A2299"/>
        </w:rPr>
        <w:t>2022 Financial Outlook</w:t>
      </w:r>
    </w:p>
    <w:p>
      <w:pPr>
        <w:spacing w:after="0" w:line="133"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The trajectory of the US economy remains challenging to predict, particularly given the continued uncertainty associated with the pace of recovery from the COVID-19 pandemic. The Company has provided its financial outlook for the fiscal year ending December 31, 2022 based on current market conditions and expectations:</w:t>
      </w:r>
    </w:p>
    <w:p>
      <w:pPr>
        <w:spacing w:after="0" w:line="73"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Full-year 2022 net revenue of $900 - $1,100 million, representing year-over-year growth of (15)% - 4%</w:t>
      </w:r>
    </w:p>
    <w:p>
      <w:pPr>
        <w:spacing w:after="0" w:line="113" w:lineRule="exact"/>
        <w:rPr>
          <w:rFonts w:ascii="Arial" w:cs="Arial" w:eastAsia="Arial" w:hAnsi="Arial"/>
          <w:sz w:val="16"/>
          <w:szCs w:val="16"/>
          <w:b w:val="1"/>
          <w:bCs w:val="1"/>
          <w:i w:val="1"/>
          <w:iCs w:val="1"/>
          <w:color w:val="auto"/>
        </w:rPr>
      </w:pPr>
    </w:p>
    <w:p>
      <w:pPr>
        <w:ind w:left="1300" w:right="580" w:hanging="320"/>
        <w:spacing w:after="0" w:line="286" w:lineRule="auto"/>
        <w:tabs>
          <w:tab w:leader="none" w:pos="1290" w:val="left"/>
        </w:tabs>
        <w:numPr>
          <w:ilvl w:val="1"/>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Full-year 2022 commission revenue of $700 - $900 million, representing year-over-year growth of (21)% - 2%, fueled by the Company’s continued investment in its Medicare business</w:t>
      </w:r>
    </w:p>
    <w:p>
      <w:pPr>
        <w:spacing w:after="0" w:line="47" w:lineRule="exact"/>
        <w:rPr>
          <w:rFonts w:ascii="Arial" w:cs="Arial" w:eastAsia="Arial" w:hAnsi="Arial"/>
          <w:sz w:val="16"/>
          <w:szCs w:val="16"/>
          <w:b w:val="1"/>
          <w:bCs w:val="1"/>
          <w:i w:val="1"/>
          <w:iCs w:val="1"/>
          <w:color w:val="auto"/>
        </w:rPr>
      </w:pPr>
    </w:p>
    <w:p>
      <w:pPr>
        <w:ind w:left="640" w:hanging="308"/>
        <w:spacing w:after="0"/>
        <w:tabs>
          <w:tab w:leader="none" w:pos="64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Full-year 2022 Adjusted EBITDA of $110 - $150 million, representing year-over-year growth of 224% - 343%</w:t>
      </w:r>
    </w:p>
    <w:p>
      <w:pPr>
        <w:spacing w:after="0" w:line="113" w:lineRule="exact"/>
        <w:rPr>
          <w:rFonts w:ascii="Arial" w:cs="Arial" w:eastAsia="Arial" w:hAnsi="Arial"/>
          <w:sz w:val="16"/>
          <w:szCs w:val="16"/>
          <w:b w:val="1"/>
          <w:bCs w:val="1"/>
          <w:i w:val="1"/>
          <w:iCs w:val="1"/>
          <w:color w:val="auto"/>
        </w:rPr>
      </w:pPr>
    </w:p>
    <w:p>
      <w:pPr>
        <w:ind w:left="640" w:hanging="308"/>
        <w:spacing w:after="0"/>
        <w:tabs>
          <w:tab w:leader="none" w:pos="64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Full-year 2022 cash flow from operations of ($50) - ($10) million, representing year-over-year improvement of 83% to 97%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Conference Call Details</w:t>
      </w:r>
    </w:p>
    <w:p>
      <w:pPr>
        <w:spacing w:after="0" w:line="13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Company will host a conference call today, Tuesday, May 10, 2022 at 5:00 p.m. (ET) to discuss its financial results. A live audio webcast and a supplemental presentation will be available online at https://investors.gohealth.com. The conference call can also be accessed by dialing 866-374-5140 and conference ID 60724445. A replay of the call will be available for 30 days via webcast for on-demand listening shortly after the completion of the call, at the same web link.</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About GoHealth, Inc.:</w:t>
      </w:r>
    </w:p>
    <w:p>
      <w:pPr>
        <w:spacing w:after="0" w:line="13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As a leading health insurance marketplace and Medicare-focused digital health company, GoHealth's mission is to improve access to healthcare in America. Enrolling in a health insurance plan can be confusing for customers, and the seemingly small differences between plans can lead to significant out-of-pocket costs or lack of access to critical medicines and even providers. GoHealth combines cutting-edge technology, data science and deep industry expertise to match customers with the healthcare policy and carrier that is right for them. GoHealth has enrolled millions of people in Medicare plans and individual and family plans. For more information, visit https://www.gohealth.com.</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IR@gohealth.com</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Relations: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Pressinquiries@gohealth.com</w:t>
      </w:r>
    </w:p>
    <w:p>
      <w:pPr>
        <w:spacing w:after="0" w:line="200" w:lineRule="exact"/>
        <w:rPr>
          <w:sz w:val="20"/>
          <w:szCs w:val="20"/>
          <w:color w:val="auto"/>
        </w:rPr>
      </w:pPr>
    </w:p>
    <w:p>
      <w:pPr>
        <w:spacing w:after="0" w:line="244"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is a non-GAAP measure. For a definition of Adjusted EBITDA and a reconciliation to the most comparable GAAP measure, please see below.</w:t>
      </w:r>
    </w:p>
    <w:p>
      <w:pPr>
        <w:spacing w:after="0" w:line="11" w:lineRule="exact"/>
        <w:rPr>
          <w:rFonts w:ascii="Arial" w:cs="Arial" w:eastAsia="Arial" w:hAnsi="Arial"/>
          <w:sz w:val="13"/>
          <w:szCs w:val="13"/>
          <w:i w:val="1"/>
          <w:iCs w:val="1"/>
          <w:color w:val="auto"/>
        </w:rPr>
      </w:pP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First quarter 2022 results compared to the comparable prior year period.</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77"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A2299"/>
        </w:rPr>
        <w:t>Forward-Looking Statements</w:t>
      </w:r>
    </w:p>
    <w:p>
      <w:pPr>
        <w:spacing w:after="0" w:line="133"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This release contains forward-looking statements within the meaning of the Private Securities Litigation Reform Act of 1995. All statements other than statements of historical facts contained in this press release may be forward-looking statements. Statements regarding the Company’s future results of operations and financial position, business strategy and plans and objectives of management for future operations, including, among others, statements regarding expected financial performance and operational performance for the fiscal year 2022, including with respect to revenue and Adjusted EBITDA, including with respect to agent conversion and implied growth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the Company believes that the expectations reflected in these forward-looking statements are reasonable as of the date made, actual results may prove to be materially different from the results expressed or implied by the forward-looking statements. There are or will be important factors that could cause the Company’s actual results to differ materially from those indicated in these forward-looking statements, including, but are not limited to, the following: the Company’s ability to comply with the numerous, complex and frequently changing laws regulating the marketing and sale of Medicare plans; the potential for an adverse change in the Company’s relationships with carriers, including a loss of a carrier relationship, reduction in revenue or consolidation of carriers; carriers’ ability to reduce commissions paid to the Company and adversely change their underwriting practices; information technology systems failures or capacity constraints interrupting the Company’s operations; factors that impact the Company’s estimate of LTV may be adversely impacted; our management and independent auditors have identified a material weakness in our internal controls which may lead to errors or omissions in our financial statements; the potential delisting of our common stock from the NASDAQ; the Company’s dependence on agents to sell insurance plans; our ability to obtain the capital needed to operate and grow our business; attracting qualified employees and retaining key employees; and the impact of global economic happenings.</w:t>
      </w:r>
    </w:p>
    <w:p>
      <w:pPr>
        <w:spacing w:after="0" w:line="29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press release, as well as the cautionary statements and other risk factors set forth in the Company’s Annual Report on Form 10-K for the fiscal year ended December 31, 2021, Quarterly Report on Form 10-Q for the first quarter ended March 31, 2022 and other SEC filings. If one or more events related to these or other risks or uncertainties materialize, or if the Company’s underlying assumptions prove to be incorrect, actual results may differ materially from what the Company anticipates. Many of the important factors that will determine these results are beyond the Company’s ability to control or predict. Accordingly, you should not place undue reliance on any such forward-looking statements. Any forward-looking statement speaks only as of the date on which it is made, and, except as otherwise required by law, the Company does not undertake any obligation to publicly update or review any forward-looking statement, whether as a result of new information, future developments or otherwise. New factors emerge from time to time, and it is not possible for us to predict which will arise. In addition, the Company cannot assess the impact of each factor on its business or the extent to which any factor, or combination of factors, may cause actual results to differ materially from those contained in any forward-looking statements.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Use of Non-GAAP Financial Measures and Key Performance Indicators</w:t>
      </w:r>
    </w:p>
    <w:p>
      <w:pPr>
        <w:spacing w:after="0" w:line="13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In this press release, we use supplemental measures of our performance that are derived from our consolidated financial information, but which are not presented in our Consolidated Financial Statements prepared in accordance with Generally Accepted Accounting Principles (“GAAP”). These non-GAAP financial measures include net income (loss) before interest expense, income tax expense (benefit) and depreciation and amortization expense (“EBITDA”); Adjusted EBITDA and Adjusted EBITDA margin. Adjusted EBITDA is the primary financial performance measure used by management to evaluate its business and monitor its results of operations.</w:t>
      </w:r>
    </w:p>
    <w:p>
      <w:pPr>
        <w:spacing w:after="0" w:line="9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Adjusted EBITDA represents, as applicable for the period, EBITDA as further adjusted for certain items summarized below in this press release. Adjusted EBITDA margin represents Adjusted EBITDA divided by net revenues.</w:t>
      </w:r>
    </w:p>
    <w:p>
      <w:pPr>
        <w:spacing w:after="0" w:line="87"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9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press release.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77" w:right="339" w:bottom="1440" w:gutter="0" w:footer="0" w:header="0"/>
        </w:sectPr>
      </w:pPr>
    </w:p>
    <w:bookmarkStart w:id="6" w:name="page7"/>
    <w:bookmarkEnd w:id="6"/>
    <w:p>
      <w:pPr>
        <w:ind w:right="60"/>
        <w:spacing w:after="0" w:line="250" w:lineRule="auto"/>
        <w:rPr>
          <w:sz w:val="20"/>
          <w:szCs w:val="20"/>
          <w:color w:val="auto"/>
        </w:rPr>
      </w:pPr>
      <w:r>
        <w:rPr>
          <w:rFonts w:ascii="Arial" w:cs="Arial" w:eastAsia="Arial" w:hAnsi="Arial"/>
          <w:sz w:val="16"/>
          <w:szCs w:val="16"/>
          <w:color w:val="auto"/>
        </w:rPr>
        <w:t>Management has provided its outlook and guidance regarding Adjusted EBITDA, which is a non-GAAP financial measure and excludes certain charges. Management has not reconciled this non-GAAP financial measure to the corresponding GAAP financial measure because Management is unable to provide guidance for various reconciling items, such as non-recurring severance costs and professional services fees. We cannot determine their probable significance, they are outside of our control and cannot be reasonably predicted, as such items could vary significantly from period to period. Accordingly, reconciliations to the corresponding GAAP financial measures are not available without unreasonable effort.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Glossary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represents, as applicable for the period, EBITDA as further adjusted for certain items summarized below in this press release.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“Adjusted EBITDA Margin” </w:t>
      </w:r>
      <w:r>
        <w:rPr>
          <w:rFonts w:ascii="Arial" w:cs="Arial" w:eastAsia="Arial" w:hAnsi="Arial"/>
          <w:sz w:val="16"/>
          <w:szCs w:val="16"/>
          <w:color w:val="auto"/>
        </w:rPr>
        <w:t>refers to Adjusted EBITDA divided by net 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“Approved Submissions” </w:t>
      </w:r>
      <w:r>
        <w:rPr>
          <w:rFonts w:ascii="Arial" w:cs="Arial" w:eastAsia="Arial" w:hAnsi="Arial"/>
          <w:sz w:val="16"/>
          <w:szCs w:val="16"/>
          <w:color w:val="auto"/>
        </w:rPr>
        <w:t>refer to Submitted Policies approved by carriers for the identified product during the indicated period.</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i w:val="1"/>
          <w:iCs w:val="1"/>
          <w:color w:val="auto"/>
        </w:rPr>
        <w:t xml:space="preserve">“LTV Per Approved Submission” </w:t>
      </w:r>
      <w:r>
        <w:rPr>
          <w:rFonts w:ascii="Arial" w:cs="Arial" w:eastAsia="Arial" w:hAnsi="Arial"/>
          <w:sz w:val="16"/>
          <w:szCs w:val="16"/>
          <w:color w:val="auto"/>
        </w:rPr>
        <w:t>refers to the Lifetime Value of Commissions per Approved Submission, which we define as (i) aggregate commissions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number of commissionable Approved Submissions for such period.</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“Submitted Policies” </w:t>
      </w:r>
      <w:r>
        <w:rPr>
          <w:rFonts w:ascii="Arial" w:cs="Arial" w:eastAsia="Arial" w:hAnsi="Arial"/>
          <w:sz w:val="16"/>
          <w:szCs w:val="16"/>
          <w:color w:val="auto"/>
        </w:rPr>
        <w:t>refer to completed applications that, with respect to each such application, the consumer has authorized us to submit to the carrier.</w:t>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97"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The following tables set forth the components of our results of operations for the periods indicated (unaudited):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w w:val="95"/>
              </w:rPr>
              <w:t>Three months ended Mar. 31, 2022</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b w:val="1"/>
                <w:bCs w:val="1"/>
                <w:color w:val="auto"/>
                <w:w w:val="96"/>
              </w:rPr>
              <w:t>Three months ended Mar. 31, 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48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100" w:type="dxa"/>
            <w:vAlign w:val="bottom"/>
          </w:tcPr>
          <w:p>
            <w:pPr>
              <w:spacing w:after="0"/>
              <w:rPr>
                <w:sz w:val="11"/>
                <w:szCs w:val="11"/>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Dollars</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 of Net</w:t>
            </w:r>
          </w:p>
        </w:tc>
        <w:tc>
          <w:tcPr>
            <w:tcW w:w="80" w:type="dxa"/>
            <w:vAlign w:val="bottom"/>
          </w:tcPr>
          <w:p>
            <w:pPr>
              <w:spacing w:after="0"/>
              <w:rPr>
                <w:sz w:val="11"/>
                <w:szCs w:val="11"/>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Dollars</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 of Net</w:t>
            </w:r>
          </w:p>
        </w:tc>
        <w:tc>
          <w:tcPr>
            <w:tcW w:w="16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 Change</w:t>
            </w: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2"/>
        </w:trPr>
        <w:tc>
          <w:tcPr>
            <w:tcW w:w="4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Revenues</w:t>
            </w: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Revenues</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4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480" w:type="dxa"/>
            <w:vAlign w:val="bottom"/>
          </w:tcPr>
          <w:p>
            <w:pPr>
              <w:ind w:left="240"/>
              <w:spacing w:after="0"/>
              <w:rPr>
                <w:sz w:val="20"/>
                <w:szCs w:val="20"/>
                <w:color w:val="auto"/>
              </w:rPr>
            </w:pPr>
            <w:r>
              <w:rPr>
                <w:rFonts w:ascii="Arial" w:cs="Arial" w:eastAsia="Arial" w:hAnsi="Arial"/>
                <w:sz w:val="13"/>
                <w:szCs w:val="13"/>
                <w:color w:val="auto"/>
              </w:rPr>
              <w:t>Commission</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209,639</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77.5 %</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173,981</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85.2 %</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35,658</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20.5 %</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Enterprise</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60,954</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22.5 %</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30,198</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30,756</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101.8 %</w:t>
            </w:r>
          </w:p>
        </w:tc>
        <w:tc>
          <w:tcPr>
            <w:tcW w:w="0" w:type="dxa"/>
            <w:vAlign w:val="bottom"/>
          </w:tcPr>
          <w:p>
            <w:pPr>
              <w:spacing w:after="0"/>
              <w:rPr>
                <w:sz w:val="1"/>
                <w:szCs w:val="1"/>
                <w:color w:val="auto"/>
              </w:rPr>
            </w:pPr>
          </w:p>
        </w:tc>
      </w:tr>
      <w:tr>
        <w:trPr>
          <w:trHeight w:val="16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270,593</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204,179</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66,414</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32.5 %</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Operating expenses: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80" w:type="dxa"/>
            <w:vAlign w:val="bottom"/>
          </w:tcPr>
          <w:p>
            <w:pPr>
              <w:ind w:left="240"/>
              <w:spacing w:after="0"/>
              <w:rPr>
                <w:sz w:val="20"/>
                <w:szCs w:val="20"/>
                <w:color w:val="auto"/>
              </w:rPr>
            </w:pPr>
            <w:r>
              <w:rPr>
                <w:rFonts w:ascii="Arial" w:cs="Arial" w:eastAsia="Arial" w:hAnsi="Arial"/>
                <w:sz w:val="13"/>
                <w:szCs w:val="13"/>
                <w:color w:val="auto"/>
              </w:rPr>
              <w:t>Cost of revenue</w:t>
            </w:r>
          </w:p>
        </w:tc>
        <w:tc>
          <w:tcPr>
            <w:tcW w:w="100" w:type="dxa"/>
            <w:vAlign w:val="bottom"/>
          </w:tcPr>
          <w:p>
            <w:pPr>
              <w:spacing w:after="0"/>
              <w:rPr>
                <w:sz w:val="14"/>
                <w:szCs w:val="14"/>
                <w:color w:val="auto"/>
              </w:rPr>
            </w:pP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67,923</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25.1 %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48,375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23.7 %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19,548</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40.4 %</w:t>
            </w:r>
          </w:p>
        </w:tc>
        <w:tc>
          <w:tcPr>
            <w:tcW w:w="0" w:type="dxa"/>
            <w:vAlign w:val="bottom"/>
          </w:tcPr>
          <w:p>
            <w:pPr>
              <w:spacing w:after="0"/>
              <w:rPr>
                <w:sz w:val="1"/>
                <w:szCs w:val="1"/>
                <w:color w:val="auto"/>
              </w:rPr>
            </w:pPr>
          </w:p>
        </w:tc>
      </w:tr>
      <w:tr>
        <w:trPr>
          <w:trHeight w:val="184"/>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Marketing and advertising</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84,033</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54,484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29,549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54.2 %</w:t>
            </w:r>
          </w:p>
        </w:tc>
        <w:tc>
          <w:tcPr>
            <w:tcW w:w="0" w:type="dxa"/>
            <w:vAlign w:val="bottom"/>
          </w:tcPr>
          <w:p>
            <w:pPr>
              <w:spacing w:after="0"/>
              <w:rPr>
                <w:sz w:val="1"/>
                <w:szCs w:val="1"/>
                <w:color w:val="auto"/>
              </w:rPr>
            </w:pPr>
          </w:p>
        </w:tc>
      </w:tr>
      <w:tr>
        <w:trPr>
          <w:trHeight w:val="168"/>
        </w:trPr>
        <w:tc>
          <w:tcPr>
            <w:tcW w:w="448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100" w:type="dxa"/>
            <w:vAlign w:val="bottom"/>
          </w:tcPr>
          <w:p>
            <w:pPr>
              <w:spacing w:after="0"/>
              <w:rPr>
                <w:sz w:val="14"/>
                <w:szCs w:val="14"/>
                <w:color w:val="auto"/>
              </w:rPr>
            </w:pP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78,455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29.0 %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47,094</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23.1 %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31,361</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66.6 %</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Technology</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12,759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9,617</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32.7 %</w:t>
            </w:r>
          </w:p>
        </w:tc>
        <w:tc>
          <w:tcPr>
            <w:tcW w:w="0" w:type="dxa"/>
            <w:vAlign w:val="bottom"/>
          </w:tcPr>
          <w:p>
            <w:pPr>
              <w:spacing w:after="0"/>
              <w:rPr>
                <w:sz w:val="1"/>
                <w:szCs w:val="1"/>
                <w:color w:val="auto"/>
              </w:rPr>
            </w:pPr>
          </w:p>
        </w:tc>
      </w:tr>
      <w:tr>
        <w:trPr>
          <w:trHeight w:val="168"/>
        </w:trPr>
        <w:tc>
          <w:tcPr>
            <w:tcW w:w="448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100" w:type="dxa"/>
            <w:vAlign w:val="bottom"/>
          </w:tcPr>
          <w:p>
            <w:pPr>
              <w:spacing w:after="0"/>
              <w:rPr>
                <w:sz w:val="14"/>
                <w:szCs w:val="14"/>
                <w:color w:val="auto"/>
              </w:rPr>
            </w:pP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29,217</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10.8 %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19,685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9.6 %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9,532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48.4 %</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23,514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23,514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operating expenses</w:t>
            </w:r>
          </w:p>
        </w:tc>
        <w:tc>
          <w:tcPr>
            <w:tcW w:w="1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295,901</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109.4 %</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202,769</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99.3 %</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93,132</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45.9 %</w:t>
            </w:r>
          </w:p>
        </w:tc>
        <w:tc>
          <w:tcPr>
            <w:tcW w:w="0" w:type="dxa"/>
            <w:vAlign w:val="bottom"/>
          </w:tcPr>
          <w:p>
            <w:pPr>
              <w:spacing w:after="0"/>
              <w:rPr>
                <w:sz w:val="1"/>
                <w:szCs w:val="1"/>
                <w:color w:val="auto"/>
              </w:rPr>
            </w:pPr>
          </w:p>
        </w:tc>
      </w:tr>
      <w:tr>
        <w:trPr>
          <w:trHeight w:val="176"/>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(25,308)</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1,410</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(26,718)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(1894.9)%</w:t>
            </w:r>
          </w:p>
        </w:tc>
        <w:tc>
          <w:tcPr>
            <w:tcW w:w="0" w:type="dxa"/>
            <w:vAlign w:val="bottom"/>
          </w:tcPr>
          <w:p>
            <w:pPr>
              <w:spacing w:after="0"/>
              <w:rPr>
                <w:sz w:val="1"/>
                <w:szCs w:val="1"/>
                <w:color w:val="auto"/>
              </w:rPr>
            </w:pPr>
          </w:p>
        </w:tc>
      </w:tr>
      <w:tr>
        <w:trPr>
          <w:trHeight w:val="168"/>
        </w:trPr>
        <w:tc>
          <w:tcPr>
            <w:tcW w:w="448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100" w:type="dxa"/>
            <w:vAlign w:val="bottom"/>
          </w:tcPr>
          <w:p>
            <w:pPr>
              <w:spacing w:after="0"/>
              <w:rPr>
                <w:sz w:val="14"/>
                <w:szCs w:val="14"/>
                <w:color w:val="auto"/>
              </w:rPr>
            </w:pP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11,398</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8,688</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4.3 %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2,710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31.2 %</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(loss) before income taxes</w:t>
            </w:r>
          </w:p>
        </w:tc>
        <w:tc>
          <w:tcPr>
            <w:tcW w:w="1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(36,769)</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(13.6)%</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(7,291)</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(29,478)</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404.3 %</w:t>
            </w:r>
          </w:p>
        </w:tc>
        <w:tc>
          <w:tcPr>
            <w:tcW w:w="0" w:type="dxa"/>
            <w:vAlign w:val="bottom"/>
          </w:tcPr>
          <w:p>
            <w:pPr>
              <w:spacing w:after="0"/>
              <w:rPr>
                <w:sz w:val="1"/>
                <w:szCs w:val="1"/>
                <w:color w:val="auto"/>
              </w:rPr>
            </w:pPr>
          </w:p>
        </w:tc>
      </w:tr>
      <w:tr>
        <w:trPr>
          <w:trHeight w:val="175"/>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472</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(37,241)</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(7,260)</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(29,981)</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413.0 %</w:t>
            </w:r>
          </w:p>
        </w:tc>
        <w:tc>
          <w:tcPr>
            <w:tcW w:w="0" w:type="dxa"/>
            <w:vAlign w:val="bottom"/>
          </w:tcPr>
          <w:p>
            <w:pPr>
              <w:spacing w:after="0"/>
              <w:rPr>
                <w:sz w:val="1"/>
                <w:szCs w:val="1"/>
                <w:color w:val="auto"/>
              </w:rPr>
            </w:pPr>
          </w:p>
        </w:tc>
      </w:tr>
      <w:tr>
        <w:trPr>
          <w:trHeight w:val="169"/>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noncontrolling interests</w:t>
            </w: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(23,758)</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(5,173)</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(18,585)</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359.3 %</w:t>
            </w:r>
          </w:p>
        </w:tc>
        <w:tc>
          <w:tcPr>
            <w:tcW w:w="0" w:type="dxa"/>
            <w:vAlign w:val="bottom"/>
          </w:tcPr>
          <w:p>
            <w:pPr>
              <w:spacing w:after="0"/>
              <w:rPr>
                <w:sz w:val="1"/>
                <w:szCs w:val="1"/>
                <w:color w:val="auto"/>
              </w:rPr>
            </w:pPr>
          </w:p>
        </w:tc>
      </w:tr>
      <w:tr>
        <w:trPr>
          <w:trHeight w:val="176"/>
        </w:trPr>
        <w:tc>
          <w:tcPr>
            <w:tcW w:w="4480" w:type="dxa"/>
            <w:vAlign w:val="bottom"/>
          </w:tcPr>
          <w:p>
            <w:pPr>
              <w:ind w:left="20"/>
              <w:spacing w:after="0"/>
              <w:rPr>
                <w:sz w:val="20"/>
                <w:szCs w:val="20"/>
                <w:color w:val="auto"/>
              </w:rPr>
            </w:pPr>
            <w:r>
              <w:rPr>
                <w:rFonts w:ascii="Arial" w:cs="Arial" w:eastAsia="Arial" w:hAnsi="Arial"/>
                <w:sz w:val="13"/>
                <w:szCs w:val="13"/>
                <w:b w:val="1"/>
                <w:bCs w:val="1"/>
                <w:color w:val="auto"/>
              </w:rPr>
              <w:t>Net income (loss) attributable to GoHealth, Inc.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(13,483)</w:t>
            </w:r>
          </w:p>
        </w:tc>
        <w:tc>
          <w:tcPr>
            <w:tcW w:w="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(2,087)</w:t>
            </w:r>
          </w:p>
        </w:tc>
        <w:tc>
          <w:tcPr>
            <w:tcW w:w="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(11,396)</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546.0 %</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i w:val="1"/>
                <w:iCs w:val="1"/>
                <w:color w:val="auto"/>
              </w:rPr>
              <w:t>Net income (loss) per share:</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tcPr>
          <w:p>
            <w:pPr>
              <w:ind w:left="20"/>
              <w:spacing w:after="0"/>
              <w:rPr>
                <w:sz w:val="20"/>
                <w:szCs w:val="20"/>
                <w:color w:val="auto"/>
              </w:rPr>
            </w:pPr>
            <w:r>
              <w:rPr>
                <w:rFonts w:ascii="Arial" w:cs="Arial" w:eastAsia="Arial" w:hAnsi="Arial"/>
                <w:sz w:val="13"/>
                <w:szCs w:val="13"/>
                <w:color w:val="auto"/>
              </w:rPr>
              <w:t>Net income (loss) per share of common stock — basic and diluted</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(0.12)</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(0.02)</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48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w w:val="99"/>
              </w:rPr>
              <w:t>Weighted-average shares of Class A common stock outstanding — basic and</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116,207</w:t>
            </w: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92,343</w:t>
            </w: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w:t>
            </w:r>
          </w:p>
        </w:tc>
        <w:tc>
          <w:tcPr>
            <w:tcW w:w="10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EBITDA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577</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26,764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480" w:type="dxa"/>
            <w:vAlign w:val="bottom"/>
          </w:tcPr>
          <w:p>
            <w:pPr>
              <w:ind w:left="240"/>
              <w:spacing w:after="0"/>
              <w:rPr>
                <w:sz w:val="20"/>
                <w:szCs w:val="20"/>
                <w:color w:val="auto"/>
              </w:rPr>
            </w:pPr>
            <w:r>
              <w:rPr>
                <w:rFonts w:ascii="Arial" w:cs="Arial" w:eastAsia="Arial" w:hAnsi="Arial"/>
                <w:sz w:val="13"/>
                <w:szCs w:val="13"/>
                <w:color w:val="auto"/>
              </w:rPr>
              <w:t>Adjusted EBITDA</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11,073</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32,056</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Adjusted EBITDA margin</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4.1 %</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15.7 %</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789"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following tables set forth the reconciliations of GAAP net income (loss) to EBITDA and Adjusted EBITDA for the periods indicated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120" w:type="dxa"/>
            <w:vAlign w:val="bottom"/>
          </w:tcPr>
          <w:p>
            <w:pPr>
              <w:spacing w:after="0"/>
              <w:rPr>
                <w:sz w:val="13"/>
                <w:szCs w:val="13"/>
                <w:color w:val="auto"/>
              </w:rPr>
            </w:pPr>
          </w:p>
        </w:tc>
        <w:tc>
          <w:tcPr>
            <w:tcW w:w="108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Three months</w:t>
            </w:r>
          </w:p>
        </w:tc>
        <w:tc>
          <w:tcPr>
            <w:tcW w:w="0" w:type="dxa"/>
            <w:vAlign w:val="bottom"/>
          </w:tcPr>
          <w:p>
            <w:pPr>
              <w:spacing w:after="0"/>
              <w:rPr>
                <w:sz w:val="1"/>
                <w:szCs w:val="1"/>
                <w:color w:val="auto"/>
              </w:rPr>
            </w:pPr>
          </w:p>
        </w:tc>
      </w:tr>
      <w:tr>
        <w:trPr>
          <w:trHeight w:val="121"/>
        </w:trPr>
        <w:tc>
          <w:tcPr>
            <w:tcW w:w="874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20" w:type="dxa"/>
            <w:vAlign w:val="bottom"/>
          </w:tcPr>
          <w:p>
            <w:pPr>
              <w:spacing w:after="0"/>
              <w:rPr>
                <w:sz w:val="10"/>
                <w:szCs w:val="10"/>
                <w:color w:val="auto"/>
              </w:rPr>
            </w:pPr>
          </w:p>
        </w:tc>
        <w:tc>
          <w:tcPr>
            <w:tcW w:w="11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ended Mar. 31,</w:t>
            </w:r>
          </w:p>
        </w:tc>
        <w:tc>
          <w:tcPr>
            <w:tcW w:w="120" w:type="dxa"/>
            <w:vAlign w:val="bottom"/>
          </w:tcPr>
          <w:p>
            <w:pPr>
              <w:spacing w:after="0"/>
              <w:rPr>
                <w:sz w:val="10"/>
                <w:szCs w:val="10"/>
                <w:color w:val="auto"/>
              </w:rPr>
            </w:pPr>
          </w:p>
        </w:tc>
        <w:tc>
          <w:tcPr>
            <w:tcW w:w="10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ended Mar. 31,</w:t>
            </w:r>
          </w:p>
        </w:tc>
        <w:tc>
          <w:tcPr>
            <w:tcW w:w="0" w:type="dxa"/>
            <w:vAlign w:val="bottom"/>
          </w:tcPr>
          <w:p>
            <w:pPr>
              <w:spacing w:after="0"/>
              <w:rPr>
                <w:sz w:val="1"/>
                <w:szCs w:val="1"/>
                <w:color w:val="auto"/>
              </w:rPr>
            </w:pPr>
          </w:p>
        </w:tc>
      </w:tr>
      <w:tr>
        <w:trPr>
          <w:trHeight w:val="172"/>
        </w:trPr>
        <w:tc>
          <w:tcPr>
            <w:tcW w:w="87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73"/>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270,593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204,179</w:t>
            </w:r>
          </w:p>
        </w:tc>
        <w:tc>
          <w:tcPr>
            <w:tcW w:w="0" w:type="dxa"/>
            <w:vAlign w:val="bottom"/>
          </w:tcPr>
          <w:p>
            <w:pPr>
              <w:spacing w:after="0"/>
              <w:rPr>
                <w:sz w:val="1"/>
                <w:szCs w:val="1"/>
                <w:color w:val="auto"/>
              </w:rPr>
            </w:pPr>
          </w:p>
        </w:tc>
      </w:tr>
      <w:tr>
        <w:trPr>
          <w:trHeight w:val="161"/>
        </w:trPr>
        <w:tc>
          <w:tcPr>
            <w:tcW w:w="87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(37,241)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(7,260)</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11,398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8,688</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472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25,948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25,367</w:t>
            </w:r>
          </w:p>
        </w:tc>
        <w:tc>
          <w:tcPr>
            <w:tcW w:w="0" w:type="dxa"/>
            <w:vAlign w:val="bottom"/>
          </w:tcPr>
          <w:p>
            <w:pPr>
              <w:spacing w:after="0"/>
              <w:rPr>
                <w:sz w:val="1"/>
                <w:szCs w:val="1"/>
                <w:color w:val="auto"/>
              </w:rPr>
            </w:pPr>
          </w:p>
        </w:tc>
      </w:tr>
      <w:tr>
        <w:trPr>
          <w:trHeight w:val="16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EBITDA</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577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26,764</w:t>
            </w:r>
          </w:p>
        </w:tc>
        <w:tc>
          <w:tcPr>
            <w:tcW w:w="0" w:type="dxa"/>
            <w:vAlign w:val="bottom"/>
          </w:tcPr>
          <w:p>
            <w:pPr>
              <w:spacing w:after="0"/>
              <w:rPr>
                <w:sz w:val="1"/>
                <w:szCs w:val="1"/>
                <w:color w:val="auto"/>
              </w:rPr>
            </w:pPr>
          </w:p>
        </w:tc>
      </w:tr>
      <w:tr>
        <w:trPr>
          <w:trHeight w:val="176"/>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Share-based compensation expense (1)</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5,155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5,112</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Severance cost (2)</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1,391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Professional services (3)</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3,950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740" w:type="dxa"/>
            <w:vAlign w:val="bottom"/>
          </w:tcPr>
          <w:p>
            <w:pPr>
              <w:ind w:left="240"/>
              <w:spacing w:after="0"/>
              <w:rPr>
                <w:sz w:val="20"/>
                <w:szCs w:val="20"/>
                <w:color w:val="auto"/>
              </w:rPr>
            </w:pPr>
            <w:r>
              <w:rPr>
                <w:rFonts w:ascii="Arial" w:cs="Arial" w:eastAsia="Arial" w:hAnsi="Arial"/>
                <w:sz w:val="13"/>
                <w:szCs w:val="13"/>
                <w:color w:val="auto"/>
              </w:rPr>
              <w:t>Legal fees (4)</w:t>
            </w:r>
          </w:p>
        </w:tc>
        <w:tc>
          <w:tcPr>
            <w:tcW w:w="1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200"/>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11,073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32,056</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Adjusted EBITDA margin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3"/>
                <w:szCs w:val="13"/>
                <w:color w:val="auto"/>
              </w:rPr>
              <w:t>4.1 %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3"/>
                <w:szCs w:val="13"/>
                <w:color w:val="auto"/>
              </w:rPr>
              <w:t>15.7 %</w:t>
            </w: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equity awards.</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the termination of employment and associated fees.</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non-recurring consulting fees.</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non-recurring legal fees unrelated to our core operations.</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expense by operating function for the periods indicated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3"/>
                <w:szCs w:val="13"/>
                <w:color w:val="auto"/>
              </w:rPr>
            </w:pPr>
          </w:p>
        </w:tc>
        <w:tc>
          <w:tcPr>
            <w:tcW w:w="100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Three months</w:t>
            </w:r>
          </w:p>
        </w:tc>
        <w:tc>
          <w:tcPr>
            <w:tcW w:w="0" w:type="dxa"/>
            <w:vAlign w:val="bottom"/>
          </w:tcPr>
          <w:p>
            <w:pPr>
              <w:spacing w:after="0"/>
              <w:rPr>
                <w:sz w:val="1"/>
                <w:szCs w:val="1"/>
                <w:color w:val="auto"/>
              </w:rPr>
            </w:pPr>
          </w:p>
        </w:tc>
      </w:tr>
      <w:tr>
        <w:trPr>
          <w:trHeight w:val="122"/>
        </w:trPr>
        <w:tc>
          <w:tcPr>
            <w:tcW w:w="894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100" w:type="dxa"/>
            <w:vAlign w:val="bottom"/>
          </w:tcPr>
          <w:p>
            <w:pPr>
              <w:spacing w:after="0"/>
              <w:rPr>
                <w:sz w:val="10"/>
                <w:szCs w:val="10"/>
                <w:color w:val="auto"/>
              </w:rPr>
            </w:pPr>
          </w:p>
        </w:tc>
        <w:tc>
          <w:tcPr>
            <w:tcW w:w="100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0" w:type="dxa"/>
            <w:vAlign w:val="bottom"/>
          </w:tcPr>
          <w:p>
            <w:pPr>
              <w:spacing w:after="0"/>
              <w:rPr>
                <w:sz w:val="1"/>
                <w:szCs w:val="1"/>
                <w:color w:val="auto"/>
              </w:rPr>
            </w:pPr>
          </w:p>
        </w:tc>
      </w:tr>
      <w:tr>
        <w:trPr>
          <w:trHeight w:val="172"/>
        </w:trPr>
        <w:tc>
          <w:tcPr>
            <w:tcW w:w="894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7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Marketing and advertising</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Customer care and enrollment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796</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Technology</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w:t>
            </w:r>
          </w:p>
        </w:tc>
        <w:tc>
          <w:tcPr>
            <w:tcW w:w="0" w:type="dxa"/>
            <w:vAlign w:val="bottom"/>
          </w:tcPr>
          <w:p>
            <w:pPr>
              <w:spacing w:after="0"/>
              <w:rPr>
                <w:sz w:val="1"/>
                <w:szCs w:val="1"/>
                <w:color w:val="auto"/>
              </w:rPr>
            </w:pPr>
          </w:p>
        </w:tc>
      </w:tr>
      <w:tr>
        <w:trPr>
          <w:trHeight w:val="169"/>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3,232</w:t>
            </w:r>
          </w:p>
        </w:tc>
        <w:tc>
          <w:tcPr>
            <w:tcW w:w="0" w:type="dxa"/>
            <w:vAlign w:val="bottom"/>
          </w:tcPr>
          <w:p>
            <w:pPr>
              <w:spacing w:after="0"/>
              <w:rPr>
                <w:sz w:val="1"/>
                <w:szCs w:val="1"/>
                <w:color w:val="auto"/>
              </w:rPr>
            </w:pPr>
          </w:p>
        </w:tc>
      </w:tr>
      <w:tr>
        <w:trPr>
          <w:trHeight w:val="200"/>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share-based compensation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5,155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5,112</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789"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following table sets forth our balance sheets for the periods indicated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500" w:type="dxa"/>
            <w:vAlign w:val="bottom"/>
          </w:tcPr>
          <w:p>
            <w:pPr>
              <w:ind w:left="20"/>
              <w:spacing w:after="0"/>
              <w:rPr>
                <w:sz w:val="20"/>
                <w:szCs w:val="20"/>
                <w:color w:val="auto"/>
              </w:rPr>
            </w:pPr>
            <w:r>
              <w:rPr>
                <w:rFonts w:ascii="Arial" w:cs="Arial" w:eastAsia="Arial" w:hAnsi="Arial"/>
                <w:sz w:val="13"/>
                <w:szCs w:val="13"/>
                <w:color w:val="auto"/>
              </w:rPr>
              <w:t>(in thousands, except per share amounts)</w:t>
            </w:r>
          </w:p>
        </w:tc>
        <w:tc>
          <w:tcPr>
            <w:tcW w:w="18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b w:val="1"/>
                <w:bCs w:val="1"/>
                <w:color w:val="auto"/>
              </w:rPr>
              <w:t>Mar. 31, 2022</w:t>
            </w:r>
          </w:p>
        </w:tc>
        <w:tc>
          <w:tcPr>
            <w:tcW w:w="180" w:type="dxa"/>
            <w:vAlign w:val="bottom"/>
          </w:tcPr>
          <w:p>
            <w:pPr>
              <w:spacing w:after="0"/>
              <w:rPr>
                <w:sz w:val="15"/>
                <w:szCs w:val="15"/>
                <w:color w:val="auto"/>
              </w:rPr>
            </w:pPr>
          </w:p>
        </w:tc>
        <w:tc>
          <w:tcPr>
            <w:tcW w:w="1140" w:type="dxa"/>
            <w:vAlign w:val="bottom"/>
          </w:tcPr>
          <w:p>
            <w:pPr>
              <w:jc w:val="right"/>
              <w:ind w:right="197"/>
              <w:spacing w:after="0"/>
              <w:rPr>
                <w:sz w:val="20"/>
                <w:szCs w:val="20"/>
                <w:color w:val="auto"/>
              </w:rPr>
            </w:pPr>
            <w:r>
              <w:rPr>
                <w:rFonts w:ascii="Arial" w:cs="Arial" w:eastAsia="Arial" w:hAnsi="Arial"/>
                <w:sz w:val="13"/>
                <w:szCs w:val="13"/>
                <w:b w:val="1"/>
                <w:bCs w:val="1"/>
                <w:color w:val="auto"/>
              </w:rPr>
              <w:t>Dec. 31, 2021</w:t>
            </w:r>
          </w:p>
        </w:tc>
        <w:tc>
          <w:tcPr>
            <w:tcW w:w="0" w:type="dxa"/>
            <w:vAlign w:val="bottom"/>
          </w:tcPr>
          <w:p>
            <w:pPr>
              <w:spacing w:after="0"/>
              <w:rPr>
                <w:sz w:val="1"/>
                <w:szCs w:val="1"/>
                <w:color w:val="auto"/>
              </w:rPr>
            </w:pPr>
          </w:p>
        </w:tc>
      </w:tr>
      <w:tr>
        <w:trPr>
          <w:trHeight w:val="162"/>
        </w:trPr>
        <w:tc>
          <w:tcPr>
            <w:tcW w:w="8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500" w:type="dxa"/>
            <w:vAlign w:val="bottom"/>
          </w:tcPr>
          <w:p>
            <w:pPr>
              <w:ind w:left="20"/>
              <w:spacing w:after="0"/>
              <w:rPr>
                <w:sz w:val="20"/>
                <w:szCs w:val="20"/>
                <w:color w:val="auto"/>
              </w:rPr>
            </w:pPr>
            <w:r>
              <w:rPr>
                <w:rFonts w:ascii="Arial" w:cs="Arial" w:eastAsia="Arial" w:hAnsi="Arial"/>
                <w:sz w:val="13"/>
                <w:szCs w:val="13"/>
                <w:i w:val="1"/>
                <w:iCs w:val="1"/>
                <w:color w:val="auto"/>
              </w:rPr>
              <w:t>Current assets: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129,628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84,361</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Accounts receivable, net of allowance for doubtful accounts of $926 in 2022 and $558 in 2021</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40,117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17,276</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receivable - current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189,287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268,663</w:t>
            </w:r>
          </w:p>
        </w:tc>
        <w:tc>
          <w:tcPr>
            <w:tcW w:w="0" w:type="dxa"/>
            <w:vAlign w:val="bottom"/>
          </w:tcPr>
          <w:p>
            <w:pPr>
              <w:spacing w:after="0"/>
              <w:rPr>
                <w:sz w:val="1"/>
                <w:szCs w:val="1"/>
                <w:color w:val="auto"/>
              </w:rPr>
            </w:pPr>
          </w:p>
        </w:tc>
      </w:tr>
      <w:tr>
        <w:trPr>
          <w:trHeight w:val="169"/>
        </w:trPr>
        <w:tc>
          <w:tcPr>
            <w:tcW w:w="85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Prepaid expense and other current assets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32,730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58,695</w:t>
            </w:r>
          </w:p>
        </w:tc>
        <w:tc>
          <w:tcPr>
            <w:tcW w:w="0" w:type="dxa"/>
            <w:vAlign w:val="bottom"/>
          </w:tcPr>
          <w:p>
            <w:pPr>
              <w:spacing w:after="0"/>
              <w:rPr>
                <w:sz w:val="1"/>
                <w:szCs w:val="1"/>
                <w:color w:val="auto"/>
              </w:rPr>
            </w:pPr>
          </w:p>
        </w:tc>
      </w:tr>
      <w:tr>
        <w:trPr>
          <w:trHeight w:val="175"/>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assets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391,762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428,995</w:t>
            </w:r>
          </w:p>
        </w:tc>
        <w:tc>
          <w:tcPr>
            <w:tcW w:w="0" w:type="dxa"/>
            <w:vAlign w:val="bottom"/>
          </w:tcPr>
          <w:p>
            <w:pPr>
              <w:spacing w:after="0"/>
              <w:rPr>
                <w:sz w:val="1"/>
                <w:szCs w:val="1"/>
                <w:color w:val="auto"/>
              </w:rPr>
            </w:pPr>
          </w:p>
        </w:tc>
      </w:tr>
      <w:tr>
        <w:trPr>
          <w:trHeight w:val="161"/>
        </w:trPr>
        <w:tc>
          <w:tcPr>
            <w:tcW w:w="8500" w:type="dxa"/>
            <w:vAlign w:val="bottom"/>
          </w:tcPr>
          <w:p>
            <w:pPr>
              <w:ind w:left="20"/>
              <w:spacing w:after="0"/>
              <w:rPr>
                <w:sz w:val="20"/>
                <w:szCs w:val="20"/>
                <w:color w:val="auto"/>
              </w:rPr>
            </w:pPr>
            <w:r>
              <w:rPr>
                <w:rFonts w:ascii="Arial" w:cs="Arial" w:eastAsia="Arial" w:hAnsi="Arial"/>
                <w:sz w:val="13"/>
                <w:szCs w:val="13"/>
                <w:color w:val="auto"/>
              </w:rPr>
              <w:t>Commissions receivable - non-current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947,280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993,844</w:t>
            </w:r>
          </w:p>
        </w:tc>
        <w:tc>
          <w:tcPr>
            <w:tcW w:w="0" w:type="dxa"/>
            <w:vAlign w:val="bottom"/>
          </w:tcPr>
          <w:p>
            <w:pPr>
              <w:spacing w:after="0"/>
              <w:rPr>
                <w:sz w:val="1"/>
                <w:szCs w:val="1"/>
                <w:color w:val="auto"/>
              </w:rPr>
            </w:pPr>
          </w:p>
        </w:tc>
      </w:tr>
      <w:tr>
        <w:trPr>
          <w:trHeight w:val="197"/>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ROU asset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23,462</w:t>
            </w:r>
          </w:p>
        </w:tc>
        <w:tc>
          <w:tcPr>
            <w:tcW w:w="0" w:type="dxa"/>
            <w:vAlign w:val="bottom"/>
          </w:tcPr>
          <w:p>
            <w:pPr>
              <w:spacing w:after="0"/>
              <w:rPr>
                <w:sz w:val="1"/>
                <w:szCs w:val="1"/>
                <w:color w:val="auto"/>
              </w:rPr>
            </w:pPr>
          </w:p>
        </w:tc>
      </w:tr>
      <w:tr>
        <w:trPr>
          <w:trHeight w:val="168"/>
        </w:trPr>
        <w:tc>
          <w:tcPr>
            <w:tcW w:w="8500" w:type="dxa"/>
            <w:vAlign w:val="bottom"/>
          </w:tcPr>
          <w:p>
            <w:pPr>
              <w:ind w:left="20"/>
              <w:spacing w:after="0"/>
              <w:rPr>
                <w:sz w:val="20"/>
                <w:szCs w:val="20"/>
                <w:color w:val="auto"/>
              </w:rPr>
            </w:pPr>
            <w:r>
              <w:rPr>
                <w:rFonts w:ascii="Arial" w:cs="Arial" w:eastAsia="Arial" w:hAnsi="Arial"/>
                <w:sz w:val="13"/>
                <w:szCs w:val="13"/>
                <w:color w:val="auto"/>
              </w:rPr>
              <w:t>Other long-term assets</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2,857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3,608</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equipment, and capitalized software, net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24,273</w:t>
            </w:r>
          </w:p>
        </w:tc>
        <w:tc>
          <w:tcPr>
            <w:tcW w:w="0" w:type="dxa"/>
            <w:vAlign w:val="bottom"/>
          </w:tcPr>
          <w:p>
            <w:pPr>
              <w:spacing w:after="0"/>
              <w:rPr>
                <w:sz w:val="1"/>
                <w:szCs w:val="1"/>
                <w:color w:val="auto"/>
              </w:rPr>
            </w:pPr>
          </w:p>
        </w:tc>
      </w:tr>
      <w:tr>
        <w:trPr>
          <w:trHeight w:val="16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Intangible assets, net</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571,154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594,669</w:t>
            </w:r>
          </w:p>
        </w:tc>
        <w:tc>
          <w:tcPr>
            <w:tcW w:w="0" w:type="dxa"/>
            <w:vAlign w:val="bottom"/>
          </w:tcPr>
          <w:p>
            <w:pPr>
              <w:spacing w:after="0"/>
              <w:rPr>
                <w:sz w:val="1"/>
                <w:szCs w:val="1"/>
                <w:color w:val="auto"/>
              </w:rPr>
            </w:pPr>
          </w:p>
        </w:tc>
      </w:tr>
      <w:tr>
        <w:trPr>
          <w:trHeight w:val="20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1,962,960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2,068,851</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5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Current liabilities: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25,797</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39,843</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liabilities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34,724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52,788</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Commissions payable - current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56,645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104,160</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Short-term operating lease liability</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6,126</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Deferred revenue</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536</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Current portion of long-term debt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5,270</w:t>
            </w:r>
          </w:p>
        </w:tc>
        <w:tc>
          <w:tcPr>
            <w:tcW w:w="0" w:type="dxa"/>
            <w:vAlign w:val="bottom"/>
          </w:tcPr>
          <w:p>
            <w:pPr>
              <w:spacing w:after="0"/>
              <w:rPr>
                <w:sz w:val="1"/>
                <w:szCs w:val="1"/>
                <w:color w:val="auto"/>
              </w:rPr>
            </w:pPr>
          </w:p>
        </w:tc>
      </w:tr>
      <w:tr>
        <w:trPr>
          <w:trHeight w:val="169"/>
        </w:trPr>
        <w:tc>
          <w:tcPr>
            <w:tcW w:w="85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current liabilities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11,067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8,344</w:t>
            </w:r>
          </w:p>
        </w:tc>
        <w:tc>
          <w:tcPr>
            <w:tcW w:w="0" w:type="dxa"/>
            <w:vAlign w:val="bottom"/>
          </w:tcPr>
          <w:p>
            <w:pPr>
              <w:spacing w:after="0"/>
              <w:rPr>
                <w:sz w:val="1"/>
                <w:szCs w:val="1"/>
                <w:color w:val="auto"/>
              </w:rPr>
            </w:pPr>
          </w:p>
        </w:tc>
      </w:tr>
      <w:tr>
        <w:trPr>
          <w:trHeight w:val="176"/>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140,889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217,067</w:t>
            </w:r>
          </w:p>
        </w:tc>
        <w:tc>
          <w:tcPr>
            <w:tcW w:w="0" w:type="dxa"/>
            <w:vAlign w:val="bottom"/>
          </w:tcPr>
          <w:p>
            <w:pPr>
              <w:spacing w:after="0"/>
              <w:rPr>
                <w:sz w:val="1"/>
                <w:szCs w:val="1"/>
                <w:color w:val="auto"/>
              </w:rPr>
            </w:pPr>
          </w:p>
        </w:tc>
      </w:tr>
      <w:tr>
        <w:trPr>
          <w:trHeight w:val="150"/>
        </w:trPr>
        <w:tc>
          <w:tcPr>
            <w:tcW w:w="850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Non-current liabilities:</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payable - non-current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281,250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274,403</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Long-term operating lease liability</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18,185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19,776</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Long-term debt, net of current portion</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662,678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665,115</w:t>
            </w:r>
          </w:p>
        </w:tc>
        <w:tc>
          <w:tcPr>
            <w:tcW w:w="0" w:type="dxa"/>
            <w:vAlign w:val="bottom"/>
          </w:tcPr>
          <w:p>
            <w:pPr>
              <w:spacing w:after="0"/>
              <w:rPr>
                <w:sz w:val="1"/>
                <w:szCs w:val="1"/>
                <w:color w:val="auto"/>
              </w:rPr>
            </w:pPr>
          </w:p>
        </w:tc>
      </w:tr>
      <w:tr>
        <w:trPr>
          <w:trHeight w:val="16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non-current liabilities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962,113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959,294</w:t>
            </w:r>
          </w:p>
        </w:tc>
        <w:tc>
          <w:tcPr>
            <w:tcW w:w="0" w:type="dxa"/>
            <w:vAlign w:val="bottom"/>
          </w:tcPr>
          <w:p>
            <w:pPr>
              <w:spacing w:after="0"/>
              <w:rPr>
                <w:sz w:val="1"/>
                <w:szCs w:val="1"/>
                <w:color w:val="auto"/>
              </w:rPr>
            </w:pPr>
          </w:p>
        </w:tc>
      </w:tr>
      <w:tr>
        <w:trPr>
          <w:trHeight w:val="162"/>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Stockholders’ equity:</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500" w:type="dxa"/>
            <w:vAlign w:val="bottom"/>
          </w:tcPr>
          <w:p>
            <w:pPr>
              <w:ind w:left="240"/>
              <w:spacing w:after="0" w:line="129" w:lineRule="exact"/>
              <w:rPr>
                <w:sz w:val="20"/>
                <w:szCs w:val="20"/>
                <w:color w:val="auto"/>
              </w:rPr>
            </w:pPr>
            <w:r>
              <w:rPr>
                <w:rFonts w:ascii="Arial" w:cs="Arial" w:eastAsia="Arial" w:hAnsi="Arial"/>
                <w:sz w:val="13"/>
                <w:szCs w:val="13"/>
                <w:color w:val="auto"/>
              </w:rPr>
              <w:t>Class A common stock – $0.0001 par value; 1,100,000 shares authorized; 121,944 and 115,487 shares issued; 121,775 and 115,487 shares</w:t>
            </w:r>
          </w:p>
        </w:tc>
        <w:tc>
          <w:tcPr>
            <w:tcW w:w="18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0"/>
        </w:trPr>
        <w:tc>
          <w:tcPr>
            <w:tcW w:w="8500" w:type="dxa"/>
            <w:vAlign w:val="bottom"/>
          </w:tcPr>
          <w:p>
            <w:pPr>
              <w:ind w:left="240"/>
              <w:spacing w:after="0"/>
              <w:rPr>
                <w:sz w:val="20"/>
                <w:szCs w:val="20"/>
                <w:color w:val="auto"/>
              </w:rPr>
            </w:pPr>
            <w:r>
              <w:rPr>
                <w:rFonts w:ascii="Arial" w:cs="Arial" w:eastAsia="Arial" w:hAnsi="Arial"/>
                <w:sz w:val="13"/>
                <w:szCs w:val="13"/>
                <w:color w:val="auto"/>
              </w:rPr>
              <w:t>outstanding at March 31, 2022 and December 31, 2021, respectively.</w:t>
            </w: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500" w:type="dxa"/>
            <w:vAlign w:val="bottom"/>
            <w:shd w:val="clear" w:color="auto" w:fill="CCEEFF"/>
          </w:tcPr>
          <w:p>
            <w:pPr>
              <w:ind w:left="240"/>
              <w:spacing w:after="0" w:line="137" w:lineRule="exact"/>
              <w:rPr>
                <w:sz w:val="20"/>
                <w:szCs w:val="20"/>
                <w:color w:val="auto"/>
              </w:rPr>
            </w:pPr>
            <w:r>
              <w:rPr>
                <w:rFonts w:ascii="Arial" w:cs="Arial" w:eastAsia="Arial" w:hAnsi="Arial"/>
                <w:sz w:val="13"/>
                <w:szCs w:val="13"/>
                <w:color w:val="auto"/>
              </w:rPr>
              <w:t>Class B common stock – $0.0001 par value; 581,346 and 587,360 shares authorized; 199,338 and 205,352 shares issued and outstanding at</w:t>
            </w:r>
          </w:p>
        </w:tc>
        <w:tc>
          <w:tcPr>
            <w:tcW w:w="1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8"/>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March 31, 2022 and December 31, 2021, respectively.</w:t>
            </w:r>
          </w:p>
        </w:tc>
        <w:tc>
          <w:tcPr>
            <w:tcW w:w="18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500" w:type="dxa"/>
            <w:vAlign w:val="bottom"/>
          </w:tcPr>
          <w:p>
            <w:pPr>
              <w:ind w:left="240"/>
              <w:spacing w:after="0"/>
              <w:rPr>
                <w:sz w:val="20"/>
                <w:szCs w:val="20"/>
                <w:color w:val="auto"/>
              </w:rPr>
            </w:pPr>
            <w:r>
              <w:rPr>
                <w:rFonts w:ascii="Arial" w:cs="Arial" w:eastAsia="Arial" w:hAnsi="Arial"/>
                <w:sz w:val="13"/>
                <w:szCs w:val="13"/>
                <w:color w:val="auto"/>
              </w:rPr>
              <w:t>Preferred stock – $0.0001 par value; 20,000 shares authorized; no shares issued and outstanding at March 31, 2022 and December 31, 2021.</w:t>
            </w:r>
          </w:p>
        </w:tc>
        <w:tc>
          <w:tcPr>
            <w:tcW w:w="1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Treasury stock – at cost; 169 shares of Class A common stock at March 31, 2022</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Additional paid-in capital</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583,323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561,447</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Accumulated other comprehensive income (loss)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9"/>
        </w:trPr>
        <w:tc>
          <w:tcPr>
            <w:tcW w:w="85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Accumulated deficit</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(221,800)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(208,317)</w:t>
            </w:r>
          </w:p>
        </w:tc>
        <w:tc>
          <w:tcPr>
            <w:tcW w:w="0" w:type="dxa"/>
            <w:vAlign w:val="bottom"/>
          </w:tcPr>
          <w:p>
            <w:pPr>
              <w:spacing w:after="0"/>
              <w:rPr>
                <w:sz w:val="1"/>
                <w:szCs w:val="1"/>
                <w:color w:val="auto"/>
              </w:rPr>
            </w:pPr>
          </w:p>
        </w:tc>
      </w:tr>
      <w:tr>
        <w:trPr>
          <w:trHeight w:val="175"/>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stockholders’ equity attributable to GoHealth, Inc.</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361,125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353,103</w:t>
            </w:r>
          </w:p>
        </w:tc>
        <w:tc>
          <w:tcPr>
            <w:tcW w:w="0" w:type="dxa"/>
            <w:vAlign w:val="bottom"/>
          </w:tcPr>
          <w:p>
            <w:pPr>
              <w:spacing w:after="0"/>
              <w:rPr>
                <w:sz w:val="1"/>
                <w:szCs w:val="1"/>
                <w:color w:val="auto"/>
              </w:rPr>
            </w:pPr>
          </w:p>
        </w:tc>
      </w:tr>
      <w:tr>
        <w:trPr>
          <w:trHeight w:val="16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Non-controlling interests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498,833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539,387</w:t>
            </w:r>
          </w:p>
        </w:tc>
        <w:tc>
          <w:tcPr>
            <w:tcW w:w="0" w:type="dxa"/>
            <w:vAlign w:val="bottom"/>
          </w:tcPr>
          <w:p>
            <w:pPr>
              <w:spacing w:after="0"/>
              <w:rPr>
                <w:sz w:val="1"/>
                <w:szCs w:val="1"/>
                <w:color w:val="auto"/>
              </w:rPr>
            </w:pPr>
          </w:p>
        </w:tc>
      </w:tr>
      <w:tr>
        <w:trPr>
          <w:trHeight w:val="169"/>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stockholders’ equity</w:t>
            </w: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859,958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892,490</w:t>
            </w:r>
          </w:p>
        </w:tc>
        <w:tc>
          <w:tcPr>
            <w:tcW w:w="0" w:type="dxa"/>
            <w:vAlign w:val="bottom"/>
          </w:tcPr>
          <w:p>
            <w:pPr>
              <w:spacing w:after="0"/>
              <w:rPr>
                <w:sz w:val="1"/>
                <w:szCs w:val="1"/>
                <w:color w:val="auto"/>
              </w:rPr>
            </w:pPr>
          </w:p>
        </w:tc>
      </w:tr>
      <w:tr>
        <w:trPr>
          <w:trHeight w:val="175"/>
        </w:trPr>
        <w:tc>
          <w:tcPr>
            <w:tcW w:w="8500" w:type="dxa"/>
            <w:vAlign w:val="bottom"/>
          </w:tcPr>
          <w:p>
            <w:pPr>
              <w:ind w:left="20"/>
              <w:spacing w:after="0"/>
              <w:rPr>
                <w:sz w:val="20"/>
                <w:szCs w:val="20"/>
                <w:color w:val="auto"/>
              </w:rPr>
            </w:pPr>
            <w:r>
              <w:rPr>
                <w:rFonts w:ascii="Arial" w:cs="Arial" w:eastAsia="Arial" w:hAnsi="Arial"/>
                <w:sz w:val="13"/>
                <w:szCs w:val="13"/>
                <w:b w:val="1"/>
                <w:bCs w:val="1"/>
                <w:color w:val="auto"/>
              </w:rPr>
              <w:t>Total liabilities and stockholders’ equity</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1,962,960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2,068,851</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97"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following table sets forth our statements of cash flows for the periods indicated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4"/>
          </w:tcPr>
          <w:p>
            <w:pPr>
              <w:jc w:val="right"/>
              <w:ind w:right="497"/>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69"/>
        </w:trPr>
        <w:tc>
          <w:tcPr>
            <w:tcW w:w="8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rPr>
              <w:t>Mar. 31,</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5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(37,241)</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(7,260)</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Adjustments to reconcile net income (loss) to net cash provided by (used in) operating activities: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5,155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5,112</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1,853</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23,514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23,514</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 and issuance costs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Non-cash lease expense</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1,216</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non-cash items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w:t>
            </w:r>
          </w:p>
        </w:tc>
        <w:tc>
          <w:tcPr>
            <w:tcW w:w="0" w:type="dxa"/>
            <w:vAlign w:val="bottom"/>
          </w:tcPr>
          <w:p>
            <w:pPr>
              <w:spacing w:after="0"/>
              <w:rPr>
                <w:sz w:val="1"/>
                <w:szCs w:val="1"/>
                <w:color w:val="auto"/>
              </w:rPr>
            </w:pPr>
          </w:p>
        </w:tc>
      </w:tr>
      <w:tr>
        <w:trPr>
          <w:trHeight w:val="170"/>
        </w:trPr>
        <w:tc>
          <w:tcPr>
            <w:tcW w:w="8940" w:type="dxa"/>
            <w:vAlign w:val="bottom"/>
          </w:tcPr>
          <w:p>
            <w:pPr>
              <w:ind w:left="240"/>
              <w:spacing w:after="0"/>
              <w:rPr>
                <w:sz w:val="20"/>
                <w:szCs w:val="20"/>
                <w:color w:val="auto"/>
              </w:rPr>
            </w:pPr>
            <w:r>
              <w:rPr>
                <w:rFonts w:ascii="Arial" w:cs="Arial" w:eastAsia="Arial" w:hAnsi="Arial"/>
                <w:sz w:val="13"/>
                <w:szCs w:val="13"/>
                <w:i w:val="1"/>
                <w:iCs w:val="1"/>
                <w:color w:val="auto"/>
              </w:rPr>
              <w:t>Changes in assets and liabilities, net of acquisition:</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receivable</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(22,888)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(1,661)</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Commissions receivable</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126,024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9,508</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Prepaid expenses and other assets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26,659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9,227</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Accounts payable</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(14,073)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1,570</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Accrued liabilities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(18,393)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Deferred revenue</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Commissions payable</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(40,668)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(10,818)</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Operating lease liabilities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(1,468)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(1,188)</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Other liabilities</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695</w:t>
            </w:r>
          </w:p>
        </w:tc>
        <w:tc>
          <w:tcPr>
            <w:tcW w:w="0" w:type="dxa"/>
            <w:vAlign w:val="bottom"/>
          </w:tcPr>
          <w:p>
            <w:pPr>
              <w:spacing w:after="0"/>
              <w:rPr>
                <w:sz w:val="1"/>
                <w:szCs w:val="1"/>
                <w:color w:val="auto"/>
              </w:rPr>
            </w:pPr>
          </w:p>
        </w:tc>
      </w:tr>
      <w:tr>
        <w:trPr>
          <w:trHeight w:val="162"/>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54,486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31,202</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Purchases of property, equipment and software</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(5,997)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(3,740)</w:t>
            </w:r>
          </w:p>
        </w:tc>
        <w:tc>
          <w:tcPr>
            <w:tcW w:w="0" w:type="dxa"/>
            <w:vAlign w:val="bottom"/>
          </w:tcPr>
          <w:p>
            <w:pPr>
              <w:spacing w:after="0"/>
              <w:rPr>
                <w:sz w:val="1"/>
                <w:szCs w:val="1"/>
                <w:color w:val="auto"/>
              </w:rPr>
            </w:pPr>
          </w:p>
        </w:tc>
      </w:tr>
      <w:tr>
        <w:trPr>
          <w:trHeight w:val="175"/>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investing activities</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(5,997)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(3,740)</w:t>
            </w:r>
          </w:p>
        </w:tc>
        <w:tc>
          <w:tcPr>
            <w:tcW w:w="0" w:type="dxa"/>
            <w:vAlign w:val="bottom"/>
          </w:tcPr>
          <w:p>
            <w:pPr>
              <w:spacing w:after="0"/>
              <w:rPr>
                <w:sz w:val="1"/>
                <w:szCs w:val="1"/>
                <w:color w:val="auto"/>
              </w:rPr>
            </w:pPr>
          </w:p>
        </w:tc>
      </w:tr>
      <w:tr>
        <w:trPr>
          <w:trHeight w:val="152"/>
        </w:trPr>
        <w:tc>
          <w:tcPr>
            <w:tcW w:w="894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Financing Activities</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borrowings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Debt issuance cost payments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(1,725)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under finance lease obligations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69"/>
        </w:trPr>
        <w:tc>
          <w:tcPr>
            <w:tcW w:w="8940" w:type="dxa"/>
            <w:vAlign w:val="bottom"/>
          </w:tcPr>
          <w:p>
            <w:pPr>
              <w:ind w:left="20"/>
              <w:spacing w:after="0"/>
              <w:rPr>
                <w:sz w:val="20"/>
                <w:szCs w:val="20"/>
                <w:color w:val="auto"/>
              </w:rPr>
            </w:pPr>
            <w:r>
              <w:rPr>
                <w:rFonts w:ascii="Arial" w:cs="Arial" w:eastAsia="Arial" w:hAnsi="Arial"/>
                <w:sz w:val="13"/>
                <w:szCs w:val="13"/>
                <w:color w:val="auto"/>
              </w:rPr>
              <w:t>Cash received on advancement to NVX Holdings, Inc.</w:t>
            </w:r>
          </w:p>
        </w:tc>
        <w:tc>
          <w:tcPr>
            <w:tcW w:w="2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3,395</w:t>
            </w:r>
          </w:p>
        </w:tc>
        <w:tc>
          <w:tcPr>
            <w:tcW w:w="0" w:type="dxa"/>
            <w:vAlign w:val="bottom"/>
          </w:tcPr>
          <w:p>
            <w:pPr>
              <w:spacing w:after="0"/>
              <w:rPr>
                <w:sz w:val="1"/>
                <w:szCs w:val="1"/>
                <w:color w:val="auto"/>
              </w:rPr>
            </w:pPr>
          </w:p>
        </w:tc>
      </w:tr>
      <w:tr>
        <w:trPr>
          <w:trHeight w:val="175"/>
        </w:trPr>
        <w:tc>
          <w:tcPr>
            <w:tcW w:w="8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(used in) provided by financing activities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(3,105)</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2,276</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75"/>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in cash and cash equivalents</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45,267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29,745</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84,361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144,234</w:t>
            </w:r>
          </w:p>
        </w:tc>
        <w:tc>
          <w:tcPr>
            <w:tcW w:w="0" w:type="dxa"/>
            <w:vAlign w:val="bottom"/>
          </w:tcPr>
          <w:p>
            <w:pPr>
              <w:spacing w:after="0"/>
              <w:rPr>
                <w:sz w:val="1"/>
                <w:szCs w:val="1"/>
                <w:color w:val="auto"/>
              </w:rPr>
            </w:pPr>
          </w:p>
        </w:tc>
      </w:tr>
      <w:tr>
        <w:trPr>
          <w:trHeight w:val="200"/>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129,628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173,979</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9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Non-cash investing and financing activities: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940" w:type="dxa"/>
            <w:vAlign w:val="bottom"/>
          </w:tcPr>
          <w:p>
            <w:pPr>
              <w:ind w:left="240"/>
              <w:spacing w:after="0"/>
              <w:rPr>
                <w:sz w:val="20"/>
                <w:szCs w:val="20"/>
                <w:color w:val="auto"/>
              </w:rPr>
            </w:pPr>
            <w:r>
              <w:rPr>
                <w:rFonts w:ascii="Arial" w:cs="Arial" w:eastAsia="Arial" w:hAnsi="Arial"/>
                <w:sz w:val="13"/>
                <w:szCs w:val="13"/>
                <w:color w:val="auto"/>
              </w:rPr>
              <w:t>Purchases of property, equipment and software included in accounts payable</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2,734</w:t>
            </w:r>
          </w:p>
        </w:tc>
        <w:tc>
          <w:tcPr>
            <w:tcW w:w="100" w:type="dxa"/>
            <w:vAlign w:val="bottom"/>
          </w:tcPr>
          <w:p>
            <w:pPr>
              <w:spacing w:after="0"/>
              <w:rPr>
                <w:sz w:val="13"/>
                <w:szCs w:val="13"/>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97"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tables set forth operating segment results for the periods indicated (unaudited):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60" w:type="dxa"/>
            <w:vAlign w:val="bottom"/>
          </w:tcPr>
          <w:p>
            <w:pPr>
              <w:spacing w:after="0"/>
              <w:rPr>
                <w:sz w:val="15"/>
                <w:szCs w:val="15"/>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7"/>
              </w:rPr>
              <w:t>Three months ended Mar. 31, 2022</w:t>
            </w:r>
          </w:p>
        </w:tc>
        <w:tc>
          <w:tcPr>
            <w:tcW w:w="100" w:type="dxa"/>
            <w:vAlign w:val="bottom"/>
          </w:tcPr>
          <w:p>
            <w:pPr>
              <w:spacing w:after="0"/>
              <w:rPr>
                <w:sz w:val="15"/>
                <w:szCs w:val="15"/>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6"/>
              </w:rPr>
              <w:t>Three months ended Mar. 31, 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66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w:t>
            </w:r>
          </w:p>
        </w:tc>
        <w:tc>
          <w:tcPr>
            <w:tcW w:w="20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Dollars</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 of Net</w:t>
            </w:r>
          </w:p>
        </w:tc>
        <w:tc>
          <w:tcPr>
            <w:tcW w:w="20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 of Net</w:t>
            </w:r>
          </w:p>
        </w:tc>
        <w:tc>
          <w:tcPr>
            <w:tcW w:w="16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 Change</w:t>
            </w: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2"/>
        </w:trPr>
        <w:tc>
          <w:tcPr>
            <w:tcW w:w="4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Revenues</w:t>
            </w: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6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203,845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75.3 %</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157,353</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77.2 %</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46,492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29.5 %</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61,486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39,500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21,986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55.7 %</w:t>
            </w: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4,200</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3,975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5.7 %</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1,062</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0.4 %</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3,351</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(2,289)</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(68.3)%</w:t>
            </w:r>
          </w:p>
        </w:tc>
        <w:tc>
          <w:tcPr>
            <w:tcW w:w="0" w:type="dxa"/>
            <w:vAlign w:val="bottom"/>
          </w:tcPr>
          <w:p>
            <w:pPr>
              <w:spacing w:after="0"/>
              <w:rPr>
                <w:sz w:val="1"/>
                <w:szCs w:val="1"/>
                <w:color w:val="auto"/>
              </w:rPr>
            </w:pP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270,593</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204,179</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66,414</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32.5 %</w:t>
            </w:r>
          </w:p>
        </w:tc>
        <w:tc>
          <w:tcPr>
            <w:tcW w:w="0" w:type="dxa"/>
            <w:vAlign w:val="bottom"/>
          </w:tcPr>
          <w:p>
            <w:pPr>
              <w:spacing w:after="0"/>
              <w:rPr>
                <w:sz w:val="1"/>
                <w:szCs w:val="1"/>
                <w:color w:val="auto"/>
              </w:rPr>
            </w:pPr>
          </w:p>
        </w:tc>
      </w:tr>
      <w:tr>
        <w:trPr>
          <w:trHeight w:val="16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Segment profit (loss):</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34,839</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12.9 %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46,443</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22.7 %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(11,604)</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(7,793)</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7"/>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590</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0.2 %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(729)</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1,319</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(418)</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(261.3)%</w:t>
            </w:r>
          </w:p>
        </w:tc>
        <w:tc>
          <w:tcPr>
            <w:tcW w:w="0" w:type="dxa"/>
            <w:vAlign w:val="bottom"/>
          </w:tcPr>
          <w:p>
            <w:pPr>
              <w:spacing w:after="0"/>
              <w:rPr>
                <w:sz w:val="1"/>
                <w:szCs w:val="1"/>
                <w:color w:val="auto"/>
              </w:rPr>
            </w:pP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Segment profit (loss)</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27,378</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10.1 %</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45,243</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(17,865)</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w:t>
            </w:r>
          </w:p>
        </w:tc>
        <w:tc>
          <w:tcPr>
            <w:tcW w:w="0" w:type="dxa"/>
            <w:vAlign w:val="bottom"/>
          </w:tcPr>
          <w:p>
            <w:pPr>
              <w:spacing w:after="0"/>
              <w:rPr>
                <w:sz w:val="1"/>
                <w:szCs w:val="1"/>
                <w:color w:val="auto"/>
              </w:rPr>
            </w:pPr>
          </w:p>
        </w:tc>
      </w:tr>
      <w:tr>
        <w:trPr>
          <w:trHeight w:val="175"/>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Corporate expense</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29,172</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20,319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43.6 %</w:t>
            </w: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23,514</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8.7 %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23,514</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11.5 %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11,398</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31.2 %</w:t>
            </w:r>
          </w:p>
        </w:tc>
        <w:tc>
          <w:tcPr>
            <w:tcW w:w="0" w:type="dxa"/>
            <w:vAlign w:val="bottom"/>
          </w:tcPr>
          <w:p>
            <w:pPr>
              <w:spacing w:after="0"/>
              <w:rPr>
                <w:sz w:val="1"/>
                <w:szCs w:val="1"/>
                <w:color w:val="auto"/>
              </w:rPr>
            </w:pPr>
          </w:p>
        </w:tc>
      </w:tr>
      <w:tr>
        <w:trPr>
          <w:trHeight w:val="169"/>
        </w:trPr>
        <w:tc>
          <w:tcPr>
            <w:tcW w:w="4660" w:type="dxa"/>
            <w:vAlign w:val="bottom"/>
          </w:tcPr>
          <w:p>
            <w:pPr>
              <w:ind w:left="240"/>
              <w:spacing w:after="0"/>
              <w:rPr>
                <w:sz w:val="20"/>
                <w:szCs w:val="20"/>
                <w:color w:val="auto"/>
              </w:rPr>
            </w:pPr>
            <w:r>
              <w:rPr>
                <w:rFonts w:ascii="Arial" w:cs="Arial" w:eastAsia="Arial" w:hAnsi="Arial"/>
                <w:sz w:val="13"/>
                <w:szCs w:val="13"/>
                <w:color w:val="auto"/>
              </w:rPr>
              <w:t>Other (income) expense</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63</w:t>
            </w:r>
          </w:p>
        </w:tc>
        <w:tc>
          <w:tcPr>
            <w:tcW w:w="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201"/>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(36,769)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(7,291)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(29,478)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404.3 %</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789" w:right="339" w:bottom="1440" w:gutter="0" w:footer="0" w:header="0"/>
        </w:sectPr>
      </w:pPr>
    </w:p>
    <w:bookmarkStart w:id="12" w:name="page13"/>
    <w:bookmarkEnd w:id="12"/>
    <w:p>
      <w:pPr>
        <w:ind w:right="100"/>
        <w:spacing w:after="0" w:line="260" w:lineRule="auto"/>
        <w:rPr>
          <w:sz w:val="20"/>
          <w:szCs w:val="20"/>
          <w:color w:val="auto"/>
        </w:rPr>
      </w:pPr>
      <w:r>
        <w:rPr>
          <w:rFonts w:ascii="Arial" w:cs="Arial" w:eastAsia="Arial" w:hAnsi="Arial"/>
          <w:sz w:val="16"/>
          <w:szCs w:val="16"/>
          <w:color w:val="auto"/>
        </w:rPr>
        <w:t>The following table presents the number of Submitted Policies by product for the Medicare segments for the three months ended March 31, 2022 and 2021, for those submissions that are commissionable (compensated through commissions received from carriers):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Three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Three months</w:t>
            </w:r>
          </w:p>
        </w:tc>
        <w:tc>
          <w:tcPr>
            <w:tcW w:w="0" w:type="dxa"/>
            <w:vAlign w:val="bottom"/>
          </w:tcPr>
          <w:p>
            <w:pPr>
              <w:spacing w:after="0"/>
              <w:rPr>
                <w:sz w:val="1"/>
                <w:szCs w:val="1"/>
                <w:color w:val="auto"/>
              </w:rPr>
            </w:pPr>
          </w:p>
        </w:tc>
      </w:tr>
      <w:tr>
        <w:trPr>
          <w:trHeight w:val="122"/>
        </w:trPr>
        <w:tc>
          <w:tcPr>
            <w:tcW w:w="89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Medicare - Total Commissionable Submitted Policies</w:t>
            </w:r>
          </w:p>
        </w:tc>
        <w:tc>
          <w:tcPr>
            <w:tcW w:w="12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0" w:type="dxa"/>
            <w:vAlign w:val="bottom"/>
          </w:tcPr>
          <w:p>
            <w:pPr>
              <w:spacing w:after="0"/>
              <w:rPr>
                <w:sz w:val="1"/>
                <w:szCs w:val="1"/>
                <w:color w:val="auto"/>
              </w:rPr>
            </w:pPr>
          </w:p>
        </w:tc>
      </w:tr>
      <w:tr>
        <w:trPr>
          <w:trHeight w:val="172"/>
        </w:trPr>
        <w:tc>
          <w:tcPr>
            <w:tcW w:w="894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72"/>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286,109</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172,874</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502</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1,104</w:t>
            </w:r>
          </w:p>
        </w:tc>
        <w:tc>
          <w:tcPr>
            <w:tcW w:w="0" w:type="dxa"/>
            <w:vAlign w:val="bottom"/>
          </w:tcPr>
          <w:p>
            <w:pPr>
              <w:spacing w:after="0"/>
              <w:rPr>
                <w:sz w:val="1"/>
                <w:szCs w:val="1"/>
                <w:color w:val="auto"/>
              </w:rPr>
            </w:pPr>
          </w:p>
        </w:tc>
      </w:tr>
      <w:tr>
        <w:trPr>
          <w:trHeight w:val="177"/>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6,525</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2,593</w:t>
            </w:r>
          </w:p>
        </w:tc>
        <w:tc>
          <w:tcPr>
            <w:tcW w:w="0" w:type="dxa"/>
            <w:vAlign w:val="bottom"/>
          </w:tcPr>
          <w:p>
            <w:pPr>
              <w:spacing w:after="0"/>
              <w:rPr>
                <w:sz w:val="1"/>
                <w:szCs w:val="1"/>
                <w:color w:val="auto"/>
              </w:rPr>
            </w:pPr>
          </w:p>
        </w:tc>
      </w:tr>
      <w:tr>
        <w:trPr>
          <w:trHeight w:val="176"/>
        </w:trPr>
        <w:tc>
          <w:tcPr>
            <w:tcW w:w="89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293,136</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176,571</w:t>
            </w:r>
          </w:p>
        </w:tc>
        <w:tc>
          <w:tcPr>
            <w:tcW w:w="0" w:type="dxa"/>
            <w:vAlign w:val="bottom"/>
          </w:tcPr>
          <w:p>
            <w:pPr>
              <w:spacing w:after="0"/>
              <w:rPr>
                <w:sz w:val="1"/>
                <w:szCs w:val="1"/>
                <w:color w:val="auto"/>
              </w:rPr>
            </w:pPr>
          </w:p>
        </w:tc>
      </w:tr>
      <w:tr>
        <w:trPr>
          <w:trHeight w:val="21"/>
        </w:trPr>
        <w:tc>
          <w:tcPr>
            <w:tcW w:w="8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following tables present the number of Approved Submissions by product relating to commissionable policies for the Medicare segments for three months ended March 31, 2022 and 2021. Only commissionable policies are used to calculate LTV.</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Three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Three months</w:t>
            </w:r>
          </w:p>
        </w:tc>
        <w:tc>
          <w:tcPr>
            <w:tcW w:w="0" w:type="dxa"/>
            <w:vAlign w:val="bottom"/>
          </w:tcPr>
          <w:p>
            <w:pPr>
              <w:spacing w:after="0"/>
              <w:rPr>
                <w:sz w:val="1"/>
                <w:szCs w:val="1"/>
                <w:color w:val="auto"/>
              </w:rPr>
            </w:pPr>
          </w:p>
        </w:tc>
      </w:tr>
      <w:tr>
        <w:trPr>
          <w:trHeight w:val="122"/>
        </w:trPr>
        <w:tc>
          <w:tcPr>
            <w:tcW w:w="89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Medicare - Internal Commissionable Approved Submissions</w:t>
            </w:r>
          </w:p>
        </w:tc>
        <w:tc>
          <w:tcPr>
            <w:tcW w:w="12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0" w:type="dxa"/>
            <w:vAlign w:val="bottom"/>
          </w:tcPr>
          <w:p>
            <w:pPr>
              <w:spacing w:after="0"/>
              <w:rPr>
                <w:sz w:val="1"/>
                <w:szCs w:val="1"/>
                <w:color w:val="auto"/>
              </w:rPr>
            </w:pPr>
          </w:p>
        </w:tc>
      </w:tr>
      <w:tr>
        <w:trPr>
          <w:trHeight w:val="173"/>
        </w:trPr>
        <w:tc>
          <w:tcPr>
            <w:tcW w:w="894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72"/>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188,928</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128,886</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177"/>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2,999</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2,284</w:t>
            </w:r>
          </w:p>
        </w:tc>
        <w:tc>
          <w:tcPr>
            <w:tcW w:w="0" w:type="dxa"/>
            <w:vAlign w:val="bottom"/>
          </w:tcPr>
          <w:p>
            <w:pPr>
              <w:spacing w:after="0"/>
              <w:rPr>
                <w:sz w:val="1"/>
                <w:szCs w:val="1"/>
                <w:color w:val="auto"/>
              </w:rPr>
            </w:pPr>
          </w:p>
        </w:tc>
      </w:tr>
      <w:tr>
        <w:trPr>
          <w:trHeight w:val="175"/>
        </w:trPr>
        <w:tc>
          <w:tcPr>
            <w:tcW w:w="89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192,081</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131,421</w:t>
            </w:r>
          </w:p>
        </w:tc>
        <w:tc>
          <w:tcPr>
            <w:tcW w:w="0" w:type="dxa"/>
            <w:vAlign w:val="bottom"/>
          </w:tcPr>
          <w:p>
            <w:pPr>
              <w:spacing w:after="0"/>
              <w:rPr>
                <w:sz w:val="1"/>
                <w:szCs w:val="1"/>
                <w:color w:val="auto"/>
              </w:rPr>
            </w:pPr>
          </w:p>
        </w:tc>
      </w:tr>
      <w:tr>
        <w:trPr>
          <w:trHeight w:val="21"/>
        </w:trPr>
        <w:tc>
          <w:tcPr>
            <w:tcW w:w="8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894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Three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Three months</w:t>
            </w:r>
          </w:p>
        </w:tc>
        <w:tc>
          <w:tcPr>
            <w:tcW w:w="0" w:type="dxa"/>
            <w:vAlign w:val="bottom"/>
          </w:tcPr>
          <w:p>
            <w:pPr>
              <w:spacing w:after="0"/>
              <w:rPr>
                <w:sz w:val="1"/>
                <w:szCs w:val="1"/>
                <w:color w:val="auto"/>
              </w:rPr>
            </w:pPr>
          </w:p>
        </w:tc>
      </w:tr>
      <w:tr>
        <w:trPr>
          <w:trHeight w:val="122"/>
        </w:trPr>
        <w:tc>
          <w:tcPr>
            <w:tcW w:w="89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Medicare - External Commissionable Approved Submissions</w:t>
            </w:r>
          </w:p>
        </w:tc>
        <w:tc>
          <w:tcPr>
            <w:tcW w:w="12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0" w:type="dxa"/>
            <w:vAlign w:val="bottom"/>
          </w:tcPr>
          <w:p>
            <w:pPr>
              <w:spacing w:after="0"/>
              <w:rPr>
                <w:sz w:val="1"/>
                <w:szCs w:val="1"/>
                <w:color w:val="auto"/>
              </w:rPr>
            </w:pPr>
          </w:p>
        </w:tc>
      </w:tr>
      <w:tr>
        <w:trPr>
          <w:trHeight w:val="173"/>
        </w:trPr>
        <w:tc>
          <w:tcPr>
            <w:tcW w:w="894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72"/>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87,948</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42,241</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216</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731</w:t>
            </w:r>
          </w:p>
        </w:tc>
        <w:tc>
          <w:tcPr>
            <w:tcW w:w="0" w:type="dxa"/>
            <w:vAlign w:val="bottom"/>
          </w:tcPr>
          <w:p>
            <w:pPr>
              <w:spacing w:after="0"/>
              <w:rPr>
                <w:sz w:val="1"/>
                <w:szCs w:val="1"/>
                <w:color w:val="auto"/>
              </w:rPr>
            </w:pPr>
          </w:p>
        </w:tc>
      </w:tr>
      <w:tr>
        <w:trPr>
          <w:trHeight w:val="177"/>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3,174</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75"/>
        </w:trPr>
        <w:tc>
          <w:tcPr>
            <w:tcW w:w="89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91,338</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43,261</w:t>
            </w:r>
          </w:p>
        </w:tc>
        <w:tc>
          <w:tcPr>
            <w:tcW w:w="0" w:type="dxa"/>
            <w:vAlign w:val="bottom"/>
          </w:tcPr>
          <w:p>
            <w:pPr>
              <w:spacing w:after="0"/>
              <w:rPr>
                <w:sz w:val="1"/>
                <w:szCs w:val="1"/>
                <w:color w:val="auto"/>
              </w:rPr>
            </w:pPr>
          </w:p>
        </w:tc>
      </w:tr>
      <w:tr>
        <w:trPr>
          <w:trHeight w:val="21"/>
        </w:trPr>
        <w:tc>
          <w:tcPr>
            <w:tcW w:w="8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LTV per Approved Submission by product for the Medicare segments for the three months ended March 31, 2022 and 2021: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3"/>
                <w:szCs w:val="13"/>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b w:val="1"/>
                <w:bCs w:val="1"/>
                <w:color w:val="auto"/>
                <w:w w:val="97"/>
              </w:rPr>
              <w:t>Three months</w:t>
            </w:r>
          </w:p>
        </w:tc>
        <w:tc>
          <w:tcPr>
            <w:tcW w:w="0" w:type="dxa"/>
            <w:vAlign w:val="bottom"/>
          </w:tcPr>
          <w:p>
            <w:pPr>
              <w:spacing w:after="0"/>
              <w:rPr>
                <w:sz w:val="1"/>
                <w:szCs w:val="1"/>
                <w:color w:val="auto"/>
              </w:rPr>
            </w:pPr>
          </w:p>
        </w:tc>
      </w:tr>
      <w:tr>
        <w:trPr>
          <w:trHeight w:val="122"/>
        </w:trPr>
        <w:tc>
          <w:tcPr>
            <w:tcW w:w="89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LTV per Approved Submission</w:t>
            </w:r>
          </w:p>
        </w:tc>
        <w:tc>
          <w:tcPr>
            <w:tcW w:w="100" w:type="dxa"/>
            <w:vAlign w:val="bottom"/>
          </w:tcPr>
          <w:p>
            <w:pPr>
              <w:spacing w:after="0"/>
              <w:rPr>
                <w:sz w:val="10"/>
                <w:szCs w:val="10"/>
                <w:color w:val="auto"/>
              </w:rPr>
            </w:pPr>
          </w:p>
        </w:tc>
        <w:tc>
          <w:tcPr>
            <w:tcW w:w="1100" w:type="dxa"/>
            <w:vAlign w:val="bottom"/>
            <w:gridSpan w:val="2"/>
          </w:tcPr>
          <w:p>
            <w:pPr>
              <w:jc w:val="right"/>
              <w:ind w:right="220"/>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100" w:type="dxa"/>
            <w:vAlign w:val="bottom"/>
          </w:tcPr>
          <w:p>
            <w:pPr>
              <w:spacing w:after="0"/>
              <w:rPr>
                <w:sz w:val="10"/>
                <w:szCs w:val="10"/>
                <w:color w:val="auto"/>
              </w:rPr>
            </w:pPr>
          </w:p>
        </w:tc>
        <w:tc>
          <w:tcPr>
            <w:tcW w:w="1000" w:type="dxa"/>
            <w:vAlign w:val="bottom"/>
          </w:tcPr>
          <w:p>
            <w:pPr>
              <w:jc w:val="right"/>
              <w:ind w:right="57"/>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0" w:type="dxa"/>
            <w:vAlign w:val="bottom"/>
          </w:tcPr>
          <w:p>
            <w:pPr>
              <w:spacing w:after="0"/>
              <w:rPr>
                <w:sz w:val="1"/>
                <w:szCs w:val="1"/>
                <w:color w:val="auto"/>
              </w:rPr>
            </w:pPr>
          </w:p>
        </w:tc>
      </w:tr>
      <w:tr>
        <w:trPr>
          <w:trHeight w:val="173"/>
        </w:trPr>
        <w:tc>
          <w:tcPr>
            <w:tcW w:w="894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72"/>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856</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843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798</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100"/>
        <w:spacing w:after="0" w:line="260" w:lineRule="auto"/>
        <w:rPr>
          <w:sz w:val="20"/>
          <w:szCs w:val="20"/>
          <w:color w:val="auto"/>
        </w:rPr>
      </w:pPr>
      <w:r>
        <w:rPr>
          <w:rFonts w:ascii="Arial" w:cs="Arial" w:eastAsia="Arial" w:hAnsi="Arial"/>
          <w:sz w:val="16"/>
          <w:szCs w:val="16"/>
          <w:color w:val="auto"/>
        </w:rPr>
        <w:t>The following table presents the number of Submitted Policies by product for the Medicare segments for the three months ended March 31, 2022 and 2021, for those submissions that are non-commissionable (compensated via hourly fees and enrollment fees) and do not result in commission revenue: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Three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Three months</w:t>
            </w:r>
          </w:p>
        </w:tc>
        <w:tc>
          <w:tcPr>
            <w:tcW w:w="0" w:type="dxa"/>
            <w:vAlign w:val="bottom"/>
          </w:tcPr>
          <w:p>
            <w:pPr>
              <w:spacing w:after="0"/>
              <w:rPr>
                <w:sz w:val="1"/>
                <w:szCs w:val="1"/>
                <w:color w:val="auto"/>
              </w:rPr>
            </w:pPr>
          </w:p>
        </w:tc>
      </w:tr>
      <w:tr>
        <w:trPr>
          <w:trHeight w:val="122"/>
        </w:trPr>
        <w:tc>
          <w:tcPr>
            <w:tcW w:w="89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Medicare - Total Non-Commissionable Submitted Policies</w:t>
            </w:r>
          </w:p>
        </w:tc>
        <w:tc>
          <w:tcPr>
            <w:tcW w:w="12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0" w:type="dxa"/>
            <w:vAlign w:val="bottom"/>
          </w:tcPr>
          <w:p>
            <w:pPr>
              <w:spacing w:after="0"/>
              <w:rPr>
                <w:sz w:val="1"/>
                <w:szCs w:val="1"/>
                <w:color w:val="auto"/>
              </w:rPr>
            </w:pPr>
          </w:p>
        </w:tc>
      </w:tr>
      <w:tr>
        <w:trPr>
          <w:trHeight w:val="173"/>
        </w:trPr>
        <w:tc>
          <w:tcPr>
            <w:tcW w:w="894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72"/>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4,487</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5,939</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2,191</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1,650</w:t>
            </w:r>
          </w:p>
        </w:tc>
        <w:tc>
          <w:tcPr>
            <w:tcW w:w="0" w:type="dxa"/>
            <w:vAlign w:val="bottom"/>
          </w:tcPr>
          <w:p>
            <w:pPr>
              <w:spacing w:after="0"/>
              <w:rPr>
                <w:sz w:val="1"/>
                <w:szCs w:val="1"/>
                <w:color w:val="auto"/>
              </w:rPr>
            </w:pPr>
          </w:p>
        </w:tc>
      </w:tr>
      <w:tr>
        <w:trPr>
          <w:trHeight w:val="177"/>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829</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885</w:t>
            </w:r>
          </w:p>
        </w:tc>
        <w:tc>
          <w:tcPr>
            <w:tcW w:w="0" w:type="dxa"/>
            <w:vAlign w:val="bottom"/>
          </w:tcPr>
          <w:p>
            <w:pPr>
              <w:spacing w:after="0"/>
              <w:rPr>
                <w:sz w:val="1"/>
                <w:szCs w:val="1"/>
                <w:color w:val="auto"/>
              </w:rPr>
            </w:pPr>
          </w:p>
        </w:tc>
      </w:tr>
      <w:tr>
        <w:trPr>
          <w:trHeight w:val="175"/>
        </w:trPr>
        <w:tc>
          <w:tcPr>
            <w:tcW w:w="89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7,507</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8,474</w:t>
            </w:r>
          </w:p>
        </w:tc>
        <w:tc>
          <w:tcPr>
            <w:tcW w:w="0" w:type="dxa"/>
            <w:vAlign w:val="bottom"/>
          </w:tcPr>
          <w:p>
            <w:pPr>
              <w:spacing w:after="0"/>
              <w:rPr>
                <w:sz w:val="1"/>
                <w:szCs w:val="1"/>
                <w:color w:val="auto"/>
              </w:rPr>
            </w:pPr>
          </w:p>
        </w:tc>
      </w:tr>
      <w:tr>
        <w:trPr>
          <w:trHeight w:val="21"/>
        </w:trPr>
        <w:tc>
          <w:tcPr>
            <w:tcW w:w="8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0"/>
        </w:trPr>
        <w:tc>
          <w:tcPr>
            <w:tcW w:w="8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2022-05-10T15:23:21Z</dcterms:created>
  <dcterms:modified xsi:type="dcterms:W3CDTF">2022-05-10T15:23:21Z</dcterms:modified>
</cp:coreProperties>
</file>