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35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(Check 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both"/>
        <w:spacing w:after="0" w:line="260"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10-K 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10-D 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right="3239"/>
        <w:spacing w:after="0" w:line="25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117" w:lineRule="exact"/>
        <w:rPr>
          <w:sz w:val="24"/>
          <w:szCs w:val="24"/>
          <w:color w:val="auto"/>
        </w:rPr>
      </w:pPr>
    </w:p>
    <w:p>
      <w:pPr>
        <w:sectPr>
          <w:pgSz w:w="11900" w:h="16838" w:orient="portrait"/>
          <w:cols w:equalWidth="0" w:num="3">
            <w:col w:w="1680" w:space="360"/>
            <w:col w:w="1100" w:space="180"/>
            <w:col w:w="6819"/>
          </w:cols>
          <w:pgMar w:left="320" w:top="1440" w:right="1440"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8"/>
          <w:szCs w:val="18"/>
          <w:color w:val="auto"/>
        </w:rPr>
        <w:t>For Period Ended: March 31, 2025</w:t>
      </w:r>
    </w:p>
    <w:p>
      <w:pPr>
        <w:spacing w:after="0" w:line="103" w:lineRule="exact"/>
        <w:rPr>
          <w:sz w:val="24"/>
          <w:szCs w:val="24"/>
          <w:color w:val="auto"/>
        </w:rPr>
      </w:pPr>
    </w:p>
    <w:p>
      <w:pPr>
        <w:ind w:left="2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p>
      <w:pPr>
        <w:spacing w:after="0" w:line="96" w:lineRule="exact"/>
        <w:rPr>
          <w:sz w:val="24"/>
          <w:szCs w:val="24"/>
          <w:color w:val="auto"/>
        </w:rPr>
      </w:pPr>
    </w:p>
    <w:p>
      <w:pPr>
        <w:ind w:left="2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p>
      <w:pPr>
        <w:spacing w:after="0" w:line="77" w:lineRule="exact"/>
        <w:rPr>
          <w:sz w:val="24"/>
          <w:szCs w:val="24"/>
          <w:color w:val="auto"/>
        </w:rPr>
      </w:pPr>
    </w:p>
    <w:p>
      <w:pPr>
        <w:ind w:left="2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p>
      <w:pPr>
        <w:spacing w:after="0" w:line="77" w:lineRule="exact"/>
        <w:rPr>
          <w:sz w:val="24"/>
          <w:szCs w:val="24"/>
          <w:color w:val="auto"/>
        </w:rPr>
      </w:pPr>
    </w:p>
    <w:p>
      <w:pPr>
        <w:ind w:left="20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p>
      <w:pPr>
        <w:spacing w:after="0" w:line="17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For the Transition Period Ended:  </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GOHEALTH, INC.</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color w:val="auto"/>
        </w:rPr>
        <w:t>Former Name if Applicable</w:t>
      </w:r>
    </w:p>
    <w:p>
      <w:pPr>
        <w:spacing w:after="0" w:line="2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222 W Merchandise Mart, Suite 1750</w:t>
      </w:r>
    </w:p>
    <w:p>
      <w:pPr>
        <w:spacing w:after="0" w:line="2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Address of Principal Executive Office (Street and Number)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color w:val="auto"/>
        </w:rPr>
        <w:t>City, State and Zip Code</w:t>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0" w:lineRule="exact"/>
        <w:rPr>
          <w:sz w:val="20"/>
          <w:szCs w:val="20"/>
          <w:color w:val="auto"/>
        </w:rPr>
      </w:pPr>
    </w:p>
    <w:p>
      <w:pPr>
        <w:spacing w:after="0" w:line="313" w:lineRule="exact"/>
        <w:rPr>
          <w:sz w:val="20"/>
          <w:szCs w:val="20"/>
          <w:color w:val="auto"/>
        </w:rPr>
      </w:pPr>
    </w:p>
    <w:p>
      <w:pPr>
        <w:ind w:left="1260" w:hanging="789"/>
        <w:spacing w:after="0"/>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11" w:lineRule="exact"/>
        <w:rPr>
          <w:rFonts w:ascii="Times New Roman" w:cs="Times New Roman" w:eastAsia="Times New Roman" w:hAnsi="Times New Roman"/>
          <w:sz w:val="18"/>
          <w:szCs w:val="18"/>
          <w:color w:val="auto"/>
        </w:rPr>
      </w:pPr>
    </w:p>
    <w:p>
      <w:pPr>
        <w:ind w:left="1260" w:hanging="789"/>
        <w:spacing w:after="0"/>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 w:lineRule="exact"/>
        <w:rPr>
          <w:rFonts w:ascii="Times New Roman" w:cs="Times New Roman" w:eastAsia="Times New Roman" w:hAnsi="Times New Roman"/>
          <w:sz w:val="18"/>
          <w:szCs w:val="18"/>
          <w:color w:val="auto"/>
        </w:rPr>
      </w:pPr>
    </w:p>
    <w:p>
      <w:pPr>
        <w:ind w:left="1260" w:hanging="1164"/>
        <w:spacing w:after="0" w:line="185" w:lineRule="auto"/>
        <w:tabs>
          <w:tab w:leader="none" w:pos="126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6" w:lineRule="exact"/>
        <w:rPr>
          <w:rFonts w:ascii="MS PGothic" w:cs="MS PGothic" w:eastAsia="MS PGothic" w:hAnsi="MS PGothic"/>
          <w:sz w:val="34"/>
          <w:szCs w:val="34"/>
          <w:color w:val="auto"/>
          <w:vertAlign w:val="subscript"/>
        </w:rPr>
      </w:pPr>
    </w:p>
    <w:p>
      <w:pPr>
        <w:ind w:left="1260" w:hanging="789"/>
        <w:spacing w:after="0"/>
        <w:tabs>
          <w:tab w:leader="none" w:pos="12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-1002030</wp:posOffset>
            </wp:positionV>
            <wp:extent cx="8255" cy="103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0369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Quarterly Report on Form 10-Q for the three months ended March 31, 2025 (the “Quarterly Report”) of GoHealth, Inc. (the “Company”) could not be filed with the Securities and Exchange Commission within the prescribed time period without unreasonable effort or expense. The delay in filing is necessary to allow adequate time for management to perform its review and assessment of certain financial and other related data and the disclosures required in connection therewith, as described in further detail in the paragraphs below.</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is in compliance with all of its financial covenants contained in its credit facilities. However, management’s current financial projections indicate that, based on the Company’s current business plan, there is a significant likelihood that the Company will be unable to maintain compliance with its covenants and make scheduled principal and interest payments, including amounts due under the Class A Revolving Facility expiring on June 30, 2025, within the twelve months after the date the Quarterly Report is filed, unless the mitigating plans described below are</w:t>
      </w:r>
    </w:p>
    <w:p>
      <w:pPr>
        <w:spacing w:after="0" w:line="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implemented successfully. If the Company is unable to meet its covenants or make scheduled principal and interest payments, the Company’s lenders could declare the Company in default and accelerate all amounts owing under the credit facilities. The Company does not expect it would have sufficient liquidity to repay such amounts. Management has developed mitigating plans to address the potential liquidity constraints, including cost control measures and renegotiation of the terms of its existing debt arrangements. However, the Company cannot provide assurance that it will be successful in implementing these mitigating plans on acceptable terms, if at all. As a result, there is substantial doubt about the Company’s ability to continue as a going concern.</w:t>
      </w:r>
    </w:p>
    <w:p>
      <w:pPr>
        <w:spacing w:after="0" w:line="16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significant additional time required to evaluate the effects of and disclose, in compliance with the requirements of Form 10-Q, the concerns regarding the Company’s compliance with the covenants under its credit facilities, potential defaults and events of default thereunder and the going concern of the Company has resulted in the Company being unable to file the Quarterly Report within the prescribed time period without unreasonable effort or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Quarterly Report was filed on May 16, 2025 prior to the filing of this Form 12b-25.</w:t>
      </w:r>
    </w:p>
    <w:p>
      <w:pPr>
        <w:sectPr>
          <w:pgSz w:w="11900" w:h="16838" w:orient="portrait"/>
          <w:cols w:equalWidth="0" w:num="1">
            <w:col w:w="11220"/>
          </w:cols>
          <w:pgMar w:left="320" w:top="144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337" w:lineRule="exact"/>
        <w:rPr>
          <w:sz w:val="20"/>
          <w:szCs w:val="20"/>
          <w:color w:val="auto"/>
        </w:rPr>
      </w:pPr>
    </w:p>
    <w:p>
      <w:pPr>
        <w:ind w:left="580" w:hanging="55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Brendan Shanahan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 </w:t>
            </w:r>
          </w:p>
        </w:tc>
        <w:tc>
          <w:tcPr>
            <w:tcW w:w="264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312</w:t>
            </w:r>
          </w:p>
        </w:tc>
        <w:tc>
          <w:tcPr>
            <w:tcW w:w="3780" w:type="dxa"/>
            <w:vAlign w:val="bottom"/>
            <w:tcBorders>
              <w:bottom w:val="single" w:sz="8" w:color="auto"/>
            </w:tcBorders>
          </w:tcPr>
          <w:p>
            <w:pPr>
              <w:jc w:val="right"/>
              <w:ind w:right="1579"/>
              <w:spacing w:after="0"/>
              <w:rPr>
                <w:sz w:val="20"/>
                <w:szCs w:val="20"/>
                <w:color w:val="auto"/>
              </w:rPr>
            </w:pPr>
            <w:r>
              <w:rPr>
                <w:rFonts w:ascii="Times New Roman" w:cs="Times New Roman" w:eastAsia="Times New Roman" w:hAnsi="Times New Roman"/>
                <w:sz w:val="18"/>
                <w:szCs w:val="18"/>
                <w:color w:val="auto"/>
              </w:rPr>
              <w:t>386-8200</w:t>
            </w:r>
          </w:p>
        </w:tc>
      </w:tr>
      <w:tr>
        <w:trPr>
          <w:trHeight w:val="182"/>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200" w:type="dxa"/>
            <w:vAlign w:val="bottom"/>
          </w:tcPr>
          <w:p>
            <w:pPr>
              <w:spacing w:after="0"/>
              <w:rPr>
                <w:sz w:val="15"/>
                <w:szCs w:val="15"/>
                <w:color w:val="auto"/>
              </w:rPr>
            </w:pPr>
          </w:p>
        </w:tc>
        <w:tc>
          <w:tcPr>
            <w:tcW w:w="2640" w:type="dxa"/>
            <w:vAlign w:val="bottom"/>
          </w:tcPr>
          <w:p>
            <w:pPr>
              <w:jc w:val="center"/>
              <w:ind w:right="359"/>
              <w:spacing w:after="0"/>
              <w:rPr>
                <w:sz w:val="20"/>
                <w:szCs w:val="20"/>
                <w:color w:val="auto"/>
              </w:rPr>
            </w:pPr>
            <w:r>
              <w:rPr>
                <w:rFonts w:ascii="Times New Roman" w:cs="Times New Roman" w:eastAsia="Times New Roman" w:hAnsi="Times New Roman"/>
                <w:sz w:val="14"/>
                <w:szCs w:val="14"/>
                <w:color w:val="auto"/>
              </w:rPr>
              <w:t>(Area Code)</w:t>
            </w:r>
          </w:p>
        </w:tc>
        <w:tc>
          <w:tcPr>
            <w:tcW w:w="3780" w:type="dxa"/>
            <w:vAlign w:val="bottom"/>
          </w:tcPr>
          <w:p>
            <w:pPr>
              <w:jc w:val="center"/>
              <w:ind w:right="179"/>
              <w:spacing w:after="0"/>
              <w:rPr>
                <w:sz w:val="20"/>
                <w:szCs w:val="20"/>
                <w:color w:val="auto"/>
              </w:rPr>
            </w:pPr>
            <w:r>
              <w:rPr>
                <w:rFonts w:ascii="Times New Roman" w:cs="Times New Roman" w:eastAsia="Times New Roman" w:hAnsi="Times New Roman"/>
                <w:sz w:val="14"/>
                <w:szCs w:val="14"/>
                <w:color w:val="auto"/>
              </w:rPr>
              <w:t>(Telephone Number)</w:t>
            </w:r>
          </w:p>
        </w:tc>
      </w:tr>
    </w:tbl>
    <w:p>
      <w:pPr>
        <w:spacing w:after="0" w:line="131" w:lineRule="exact"/>
        <w:rPr>
          <w:sz w:val="20"/>
          <w:szCs w:val="20"/>
          <w:color w:val="auto"/>
        </w:rPr>
      </w:pPr>
    </w:p>
    <w:p>
      <w:pPr>
        <w:ind w:left="620" w:right="20" w:hanging="594"/>
        <w:spacing w:after="0" w:line="232" w:lineRule="exact"/>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6" w:lineRule="exact"/>
        <w:rPr>
          <w:rFonts w:ascii="Times New Roman" w:cs="Times New Roman" w:eastAsia="Times New Roman" w:hAnsi="Times New Roman"/>
          <w:sz w:val="18"/>
          <w:szCs w:val="18"/>
          <w:color w:val="auto"/>
        </w:rPr>
      </w:pPr>
    </w:p>
    <w:p>
      <w:pPr>
        <w:ind w:left="620" w:hanging="59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620"/>
        <w:spacing w:after="0" w:line="207" w:lineRule="exact"/>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  </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8" w:lineRule="exact"/>
        <w:rPr>
          <w:sz w:val="20"/>
          <w:szCs w:val="20"/>
          <w:color w:val="auto"/>
        </w:rPr>
      </w:pPr>
    </w:p>
    <w:p>
      <w:pPr>
        <w:ind w:left="620" w:right="28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89" w:lineRule="exact"/>
        <w:rPr>
          <w:sz w:val="20"/>
          <w:szCs w:val="20"/>
          <w:color w:val="auto"/>
        </w:rPr>
      </w:pPr>
    </w:p>
    <w:p>
      <w:pPr>
        <w:ind w:left="620" w:right="200"/>
        <w:spacing w:after="0" w:line="282" w:lineRule="auto"/>
        <w:rPr>
          <w:sz w:val="20"/>
          <w:szCs w:val="20"/>
          <w:color w:val="auto"/>
        </w:rPr>
      </w:pPr>
      <w:r>
        <w:rPr>
          <w:rFonts w:ascii="Times New Roman" w:cs="Times New Roman" w:eastAsia="Times New Roman" w:hAnsi="Times New Roman"/>
          <w:sz w:val="18"/>
          <w:szCs w:val="18"/>
          <w:color w:val="auto"/>
        </w:rPr>
        <w:t>For a comparison of the Company’s results of operations for the three months ended March 31, 2025 compared to the three months ended March 31, 2024, please see the Form 10-Q filed with the Securities and Exchange Commission on May 16, 2025 prior to this Form 12b-25.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Form 12b-25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Form 12b-25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ability to continue as a going concern, adoption and use of artificial intelligence technologies, the impact on our business from regulatory changes, the impact on our business from the acquisition of e-TeleQuote Insurance, Inc. (“e-TeleQuote”) and our ability to successfully integrate e-TeleQuote’s operations, technologies and employees into our business, are forward-looking statements.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Form 12b-25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Form 12b-25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our Quarterly Report on Form 10-Q for the first quarter ended March 31, 2025, and in our other filings with the Securities and Exchange Commission.</w:t>
      </w:r>
    </w:p>
    <w:p>
      <w:pPr>
        <w:sectPr>
          <w:pgSz w:w="11900" w:h="16838" w:orient="portrait"/>
          <w:cols w:equalWidth="0" w:num="1">
            <w:col w:w="11240"/>
          </w:cols>
          <w:pgMar w:left="320" w:top="1413" w:right="339" w:bottom="1440" w:gutter="0" w:footer="0" w:header="0"/>
        </w:sectPr>
      </w:pPr>
    </w:p>
    <w:bookmarkStart w:id="4" w:name="page5"/>
    <w:bookmarkEnd w:id="4"/>
    <w:p>
      <w:pPr>
        <w:spacing w:after="0" w:line="1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You should read this Form 12b-25 and the documents that we reference in this Form 12b-25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648335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of Registrant as Specified in Charter)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16, 2025</w:t>
            </w:r>
          </w:p>
        </w:tc>
        <w:tc>
          <w:tcPr>
            <w:tcW w:w="27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Shanahan</w:t>
            </w:r>
          </w:p>
        </w:tc>
      </w:tr>
      <w:tr>
        <w:trPr>
          <w:trHeight w:val="218"/>
        </w:trPr>
        <w:tc>
          <w:tcPr>
            <w:tcW w:w="3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Shanahan</w:t>
            </w:r>
          </w:p>
        </w:tc>
      </w:tr>
      <w:tr>
        <w:trPr>
          <w:trHeight w:val="234"/>
        </w:trPr>
        <w:tc>
          <w:tcPr>
            <w:tcW w:w="3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3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2025-05-16T16:08:34Z</dcterms:created>
  <dcterms:modified xsi:type="dcterms:W3CDTF">2025-05-16T16:08:34Z</dcterms:modified>
</cp:coreProperties>
</file>