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26,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$0.0001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26, 2021, GoHealth, Inc. (the “Company”) held its Annual Meeting of Stockholders (the “Meeting”). A total of 298,496,653 shares of the Company’s Class A and Class B common stock (collectively, “Common Stock”) were present in person or represented by proxy at the Meeting, representing approximately 94.7% percent of the Company’s outstanding Common Stock as of the March 31, 2021 record date. The following are the voting results for the proposals considered and voted upon at the Meeting, each of which were described in the Company’s Definitive Proxy Statement filed with the Securities and Exchange Commission on April 6, 2021.</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Item 1 — Election of three Class I directors for a term of office expiring on the date of the annual meeting of stockholders to be held in 2024 and until their respective successors have been duly elected and qualified.</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3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Votes FOR</w:t>
            </w:r>
          </w:p>
        </w:tc>
        <w:tc>
          <w:tcPr>
            <w:tcW w:w="1480" w:type="dxa"/>
            <w:vAlign w:val="bottom"/>
            <w:gridSpan w:val="2"/>
          </w:tcPr>
          <w:p>
            <w:pPr>
              <w:ind w:left="360"/>
              <w:spacing w:after="0"/>
              <w:rPr>
                <w:sz w:val="20"/>
                <w:szCs w:val="20"/>
                <w:color w:val="auto"/>
              </w:rPr>
            </w:pPr>
            <w:r>
              <w:rPr>
                <w:rFonts w:ascii="Arial" w:cs="Arial" w:eastAsia="Arial" w:hAnsi="Arial"/>
                <w:sz w:val="14"/>
                <w:szCs w:val="14"/>
                <w:color w:val="auto"/>
                <w:w w:val="97"/>
              </w:rPr>
              <w:t>Votes WITHHELD</w:t>
            </w:r>
          </w:p>
        </w:tc>
        <w:tc>
          <w:tcPr>
            <w:tcW w:w="1420" w:type="dxa"/>
            <w:vAlign w:val="bottom"/>
            <w:gridSpan w:val="2"/>
          </w:tcPr>
          <w:p>
            <w:pPr>
              <w:jc w:val="center"/>
              <w:ind w:left="256"/>
              <w:spacing w:after="0"/>
              <w:rPr>
                <w:sz w:val="20"/>
                <w:szCs w:val="20"/>
                <w:color w:val="auto"/>
              </w:rPr>
            </w:pPr>
            <w:r>
              <w:rPr>
                <w:rFonts w:ascii="Arial" w:cs="Arial" w:eastAsia="Arial" w:hAnsi="Arial"/>
                <w:sz w:val="14"/>
                <w:szCs w:val="14"/>
                <w:color w:val="auto"/>
                <w:w w:val="93"/>
              </w:rPr>
              <w:t>Broker Non-Votes</w:t>
            </w: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Rahm Emanuel</w:t>
            </w:r>
          </w:p>
        </w:tc>
        <w:tc>
          <w:tcPr>
            <w:tcW w:w="20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273,546,021</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14,328,672</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10,621,960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Helene D. Gayle</w:t>
            </w:r>
          </w:p>
        </w:tc>
        <w:tc>
          <w:tcPr>
            <w:tcW w:w="2920" w:type="dxa"/>
            <w:vAlign w:val="bottom"/>
            <w:gridSpan w:val="2"/>
          </w:tcPr>
          <w:p>
            <w:pPr>
              <w:jc w:val="center"/>
              <w:ind w:left="1890"/>
              <w:spacing w:after="0"/>
              <w:rPr>
                <w:sz w:val="20"/>
                <w:szCs w:val="20"/>
                <w:color w:val="auto"/>
              </w:rPr>
            </w:pPr>
            <w:r>
              <w:rPr>
                <w:rFonts w:ascii="Arial" w:cs="Arial" w:eastAsia="Arial" w:hAnsi="Arial"/>
                <w:sz w:val="18"/>
                <w:szCs w:val="18"/>
                <w:color w:val="auto"/>
                <w:w w:val="89"/>
              </w:rPr>
              <w:t>283,233,152</w:t>
            </w:r>
          </w:p>
        </w:tc>
        <w:tc>
          <w:tcPr>
            <w:tcW w:w="14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4,641,541</w:t>
            </w:r>
          </w:p>
        </w:tc>
        <w:tc>
          <w:tcPr>
            <w:tcW w:w="1420" w:type="dxa"/>
            <w:vAlign w:val="bottom"/>
            <w:gridSpan w:val="2"/>
          </w:tcPr>
          <w:p>
            <w:pPr>
              <w:jc w:val="center"/>
              <w:ind w:left="256"/>
              <w:spacing w:after="0"/>
              <w:rPr>
                <w:sz w:val="20"/>
                <w:szCs w:val="20"/>
                <w:color w:val="auto"/>
              </w:rPr>
            </w:pPr>
            <w:r>
              <w:rPr>
                <w:rFonts w:ascii="Arial" w:cs="Arial" w:eastAsia="Arial" w:hAnsi="Arial"/>
                <w:sz w:val="18"/>
                <w:szCs w:val="18"/>
                <w:color w:val="auto"/>
                <w:w w:val="88"/>
              </w:rPr>
              <w:t>10,621,960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2920" w:type="dxa"/>
            <w:vAlign w:val="bottom"/>
            <w:gridSpan w:val="2"/>
            <w:shd w:val="clear" w:color="auto" w:fill="CCEEFF"/>
          </w:tcPr>
          <w:p>
            <w:pPr>
              <w:jc w:val="center"/>
              <w:ind w:left="1890"/>
              <w:spacing w:after="0"/>
              <w:rPr>
                <w:sz w:val="20"/>
                <w:szCs w:val="20"/>
                <w:color w:val="auto"/>
              </w:rPr>
            </w:pPr>
            <w:r>
              <w:rPr>
                <w:rFonts w:ascii="Arial" w:cs="Arial" w:eastAsia="Arial" w:hAnsi="Arial"/>
                <w:sz w:val="18"/>
                <w:szCs w:val="18"/>
                <w:color w:val="auto"/>
                <w:w w:val="89"/>
              </w:rPr>
              <w:t>287,749,619</w:t>
            </w:r>
          </w:p>
        </w:tc>
        <w:tc>
          <w:tcPr>
            <w:tcW w:w="148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89"/>
              </w:rPr>
              <w:t>125,074</w:t>
            </w:r>
          </w:p>
        </w:tc>
        <w:tc>
          <w:tcPr>
            <w:tcW w:w="142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88"/>
              </w:rPr>
              <w:t>10,621,960</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Item 2 — Ratification of the appointment of Ernst &amp; Young LLP as the Company’s independent registered public accounting firm for the year ending December 31, 2021.</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1680" w:type="dxa"/>
            <w:vAlign w:val="bottom"/>
            <w:gridSpan w:val="2"/>
          </w:tcPr>
          <w:p>
            <w:pPr>
              <w:jc w:val="center"/>
              <w:ind w:right="1060"/>
              <w:spacing w:after="0"/>
              <w:rPr>
                <w:sz w:val="20"/>
                <w:szCs w:val="20"/>
                <w:color w:val="auto"/>
              </w:rPr>
            </w:pPr>
            <w:r>
              <w:rPr>
                <w:rFonts w:ascii="Arial" w:cs="Arial" w:eastAsia="Arial" w:hAnsi="Arial"/>
                <w:sz w:val="14"/>
                <w:szCs w:val="14"/>
                <w:color w:val="auto"/>
                <w:w w:val="89"/>
              </w:rPr>
              <w:t>Votes FOR</w:t>
            </w:r>
          </w:p>
        </w:tc>
        <w:tc>
          <w:tcPr>
            <w:tcW w:w="1880" w:type="dxa"/>
            <w:vAlign w:val="bottom"/>
            <w:gridSpan w:val="2"/>
          </w:tcPr>
          <w:p>
            <w:pPr>
              <w:jc w:val="center"/>
              <w:ind w:left="828"/>
              <w:spacing w:after="0"/>
              <w:rPr>
                <w:sz w:val="20"/>
                <w:szCs w:val="20"/>
                <w:color w:val="auto"/>
              </w:rPr>
            </w:pPr>
            <w:r>
              <w:rPr>
                <w:rFonts w:ascii="Arial" w:cs="Arial" w:eastAsia="Arial" w:hAnsi="Arial"/>
                <w:sz w:val="14"/>
                <w:szCs w:val="14"/>
                <w:color w:val="auto"/>
                <w:w w:val="96"/>
              </w:rPr>
              <w:t>Votes AGAINST</w:t>
            </w:r>
          </w:p>
        </w:tc>
        <w:tc>
          <w:tcPr>
            <w:tcW w:w="2660" w:type="dxa"/>
            <w:vAlign w:val="bottom"/>
            <w:gridSpan w:val="2"/>
          </w:tcPr>
          <w:p>
            <w:pPr>
              <w:jc w:val="center"/>
              <w:ind w:left="1428"/>
              <w:spacing w:after="0"/>
              <w:rPr>
                <w:sz w:val="20"/>
                <w:szCs w:val="20"/>
                <w:color w:val="auto"/>
              </w:rPr>
            </w:pPr>
            <w:r>
              <w:rPr>
                <w:rFonts w:ascii="Arial" w:cs="Arial" w:eastAsia="Arial" w:hAnsi="Arial"/>
                <w:sz w:val="14"/>
                <w:szCs w:val="14"/>
                <w:color w:val="auto"/>
                <w:w w:val="97"/>
              </w:rPr>
              <w:t>Votes ABSTAINED</w:t>
            </w:r>
          </w:p>
        </w:tc>
        <w:tc>
          <w:tcPr>
            <w:tcW w:w="2580" w:type="dxa"/>
            <w:vAlign w:val="bottom"/>
            <w:gridSpan w:val="2"/>
          </w:tcPr>
          <w:p>
            <w:pPr>
              <w:jc w:val="center"/>
              <w:ind w:left="1428"/>
              <w:spacing w:after="0"/>
              <w:rPr>
                <w:sz w:val="20"/>
                <w:szCs w:val="20"/>
                <w:color w:val="auto"/>
              </w:rPr>
            </w:pPr>
            <w:r>
              <w:rPr>
                <w:rFonts w:ascii="Arial" w:cs="Arial" w:eastAsia="Arial" w:hAnsi="Arial"/>
                <w:sz w:val="14"/>
                <w:szCs w:val="14"/>
                <w:color w:val="auto"/>
                <w:w w:val="93"/>
              </w:rPr>
              <w:t>Broker Non-Votes</w:t>
            </w: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2140" w:type="dxa"/>
            <w:vAlign w:val="bottom"/>
            <w:gridSpan w:val="3"/>
            <w:shd w:val="clear" w:color="auto" w:fill="CCEEFF"/>
          </w:tcPr>
          <w:p>
            <w:pPr>
              <w:jc w:val="right"/>
              <w:ind w:right="920"/>
              <w:spacing w:after="0" w:line="203" w:lineRule="exact"/>
              <w:rPr>
                <w:sz w:val="20"/>
                <w:szCs w:val="20"/>
                <w:color w:val="auto"/>
              </w:rPr>
            </w:pPr>
            <w:r>
              <w:rPr>
                <w:rFonts w:ascii="Arial" w:cs="Arial" w:eastAsia="Arial" w:hAnsi="Arial"/>
                <w:sz w:val="18"/>
                <w:szCs w:val="18"/>
                <w:color w:val="auto"/>
              </w:rPr>
              <w:t>298,436,777</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43,670</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16,206</w:t>
            </w:r>
          </w:p>
        </w:tc>
        <w:tc>
          <w:tcPr>
            <w:tcW w:w="1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0"/>
              <w:spacing w:after="0" w:line="203" w:lineRule="exact"/>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votes, Rahm Emanuel, Helene D. Gayle and Alexander E. Timm were elected and Item 2 was approved.</w:t>
      </w:r>
    </w:p>
    <w:p>
      <w:pPr>
        <w:sectPr>
          <w:pgSz w:w="11900" w:h="16838" w:orient="portrait"/>
          <w:cols w:equalWidth="0" w:num="1">
            <w:col w:w="10840"/>
          </w:cols>
          <w:pgMar w:left="440" w:top="297" w:right="6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8"/>
          <w:szCs w:val="18"/>
          <w:b w:val="1"/>
          <w:bCs w:val="1"/>
          <w:color w:val="auto"/>
        </w:rPr>
        <w:t>GOHEALTH,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P. Farley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2021-05-28T21:07:10Z</dcterms:created>
  <dcterms:modified xsi:type="dcterms:W3CDTF">2021-05-28T21:07:10Z</dcterms:modified>
</cp:coreProperties>
</file>