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November 22, 2022</w:t>
      </w:r>
    </w:p>
    <w:p>
      <w:pPr>
        <w:spacing w:after="0" w:line="123"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05" w:right="339" w:bottom="1440" w:gutter="0" w:footer="0" w:header="0"/>
        </w:sectPr>
      </w:pPr>
    </w:p>
    <w:p>
      <w:pPr>
        <w:spacing w:after="0" w:line="164"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59" w:lineRule="exact"/>
        <w:rPr>
          <w:sz w:val="24"/>
          <w:szCs w:val="24"/>
          <w:color w:val="auto"/>
        </w:rPr>
      </w:pPr>
    </w:p>
    <w:p>
      <w:pPr>
        <w:sectPr>
          <w:pgSz w:w="11900" w:h="16838" w:orient="portrait"/>
          <w:cols w:equalWidth="0" w:num="3">
            <w:col w:w="4500" w:space="720"/>
            <w:col w:w="3000" w:space="720"/>
            <w:col w:w="2300"/>
          </w:cols>
          <w:pgMar w:left="320" w:top="1405"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05" w:right="339" w:bottom="1440" w:gutter="0" w:footer="0" w:header="0"/>
          <w:type w:val="continuous"/>
        </w:sectPr>
      </w:pPr>
    </w:p>
    <w:p>
      <w:pPr>
        <w:spacing w:after="0" w:line="102"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405"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59" w:lineRule="exact"/>
        <w:rPr>
          <w:sz w:val="24"/>
          <w:szCs w:val="24"/>
          <w:color w:val="auto"/>
        </w:rPr>
      </w:pPr>
    </w:p>
    <w:p>
      <w:pPr>
        <w:sectPr>
          <w:pgSz w:w="11900" w:h="16838" w:orient="portrait"/>
          <w:cols w:equalWidth="0" w:num="2">
            <w:col w:w="7440" w:space="720"/>
            <w:col w:w="3080"/>
          </w:cols>
          <w:pgMar w:left="320" w:top="1405"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405" w:right="3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10"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02"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39"/>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3"/>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04"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9" w:lineRule="exact"/>
        <w:rPr>
          <w:sz w:val="24"/>
          <w:szCs w:val="24"/>
          <w:color w:val="auto"/>
        </w:rPr>
      </w:pPr>
    </w:p>
    <w:p>
      <w:pPr>
        <w:ind w:right="140"/>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3.01.</w:t>
        <w:tab/>
        <w:t>Notice of Delisting or Failure to Satisfy a Continued Listing Rule or Standard; Transfer of Listing.</w:t>
      </w:r>
    </w:p>
    <w:p>
      <w:pPr>
        <w:spacing w:after="0" w:line="23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As previously reported, the Company was notified by The Nasdaq Stock Market, LLC (“Nasdaq”) on May 25, 2022, that the bid price for the Company’s Class A common stock was not in compliance with the minimum bid price requirement of Nasdaq Marketplace Rule 5450(a)(1) for continued listing (the “Minimum Bid Price Requirement”). At that time, the Company had a period of 180 calendar days, or until November 21, 2022, to regain compliance with the Minimum Bid Price Requirement.</w:t>
      </w:r>
    </w:p>
    <w:p>
      <w:pPr>
        <w:spacing w:after="0" w:line="196"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On November 22, 2022, the Company received a written letter (the “Extension Notice”) from Nasdaq notifying the Company that Nasdaq has granted the Company an additional 180 calendar days, or until May 22, 2023 (the “Extension Period”), to regain compliance with the Minimum Bid Price Requirement. In addition, on November 16, 2022, Nasdaq notified the Company that it had approved the Company’s application to transfer its listing from Nasdaq’s Global Market tier to the Capital Market tier, which was a prerequisite to obtaining the Extension Period. This transfer was effective at the opening of business on Friday, November 18, 2022.</w:t>
      </w:r>
    </w:p>
    <w:p>
      <w:pPr>
        <w:spacing w:after="0" w:line="201" w:lineRule="exact"/>
        <w:rPr>
          <w:sz w:val="20"/>
          <w:szCs w:val="20"/>
          <w:color w:val="auto"/>
        </w:rPr>
      </w:pPr>
    </w:p>
    <w:p>
      <w:pPr>
        <w:jc w:val="both"/>
        <w:ind w:right="140"/>
        <w:spacing w:after="0" w:line="257" w:lineRule="auto"/>
        <w:rPr>
          <w:sz w:val="20"/>
          <w:szCs w:val="20"/>
          <w:color w:val="auto"/>
        </w:rPr>
      </w:pPr>
      <w:r>
        <w:rPr>
          <w:rFonts w:ascii="Arial" w:cs="Arial" w:eastAsia="Arial" w:hAnsi="Arial"/>
          <w:sz w:val="16"/>
          <w:szCs w:val="16"/>
          <w:color w:val="auto"/>
        </w:rPr>
        <w:t>The Extension Notice has no immediate effect on the continued listing status of the Company’s Class A common stock on The Nasdaq Global Market, and the Company’s Class A common stock remains listed on The Nasdaq Global Market. To regain compliance, the closing bid price of the Company’s Class A common stock must be at least $1.00 per share for a minimum of 10 consecutive business days prior to May 22, 2023.</w:t>
      </w:r>
    </w:p>
    <w:p>
      <w:pPr>
        <w:spacing w:after="0" w:line="205"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On November 17, 2022, the Company effected a reverse stock split that resulted in the Class A common stock trading above $1.00 per share. If at any time before May 22, 2023, the bid price of the Company’s Class A common stock closes at or above $1.00 per share for a minimum of 10 consecutive business days, Nasdaq will provide written notification that the Company has achieved compliance with the rule. If compliance with the rule cannot be demonstrated by May 22, 2023, Nasdaq will provide written notification that the Company’s Class A common stock will be delisted. At that time, the Company may appeal Nasdaq’s determination to a Hearings Panel.</w:t>
      </w:r>
    </w:p>
    <w:p>
      <w:pPr>
        <w:spacing w:after="0" w:line="216"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color w:val="auto"/>
        </w:rPr>
        <w:t>The Company will continue to monitor the bid price for its Class A common stock and consider various options available to it if its Class A common stock does not continue to trade at a level that is likely to regain compliance. There can be no assurance that the Company will regain compliance with the Minimum Bid Price Requirement or maintain compliance with any of the other Nasdaq continued listing requirements.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02"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0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November 22, 2022</w:t>
      </w:r>
      <w:r>
        <w:rPr>
          <w:sz w:val="20"/>
          <w:szCs w:val="20"/>
          <w:color w:val="auto"/>
        </w:rPr>
        <w:tab/>
      </w:r>
      <w:r>
        <w:rPr>
          <w:rFonts w:ascii="Arial" w:cs="Arial" w:eastAsia="Arial" w:hAnsi="Arial"/>
          <w:sz w:val="15"/>
          <w:szCs w:val="15"/>
          <w:color w:val="auto"/>
        </w:rPr>
        <w:t>By: /s/ Brian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Brian Farley</w:t>
      </w:r>
    </w:p>
    <w:p>
      <w:pPr>
        <w:spacing w:after="0" w:line="8"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Legal Officer and Secretary</w:t>
      </w:r>
    </w:p>
    <w:sectPr>
      <w:pgSz w:w="11900" w:h="16838" w:orient="portrait"/>
      <w:cols w:equalWidth="0" w:num="1">
        <w:col w:w="11220"/>
      </w:cols>
      <w:pgMar w:left="320" w:top="100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2022-11-22T15:33:00Z</dcterms:created>
  <dcterms:modified xsi:type="dcterms:W3CDTF">2022-11-22T15:33:00Z</dcterms:modified>
</cp:coreProperties>
</file>