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38046W204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Derek Leo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Blue Torch Capital LP, 150 E. 58th Street, 39th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10155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212-503-5850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Franklin Shulkin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Akin Gump Strauss Hauer &amp; Feld LLP, 2300 N. Field Street, Suite 1800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214-969-4287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38046W204</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Blue Torch Capital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1,445,181.00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1,445,181.00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1,445,181.00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Kevin Genda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1,445,181.00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1,445,181.00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1,445,181.00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61" w:orient="portrait"/>
          <w:cols w:equalWidth="0" w:num="2">
            <w:col w:w="1060" w:space="60"/>
            <w:col w:w="1002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GoHealth,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222 W Merchandise Mart Plaza, Suite 1750, Chicago, ILLINOIS , 60654.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140"/>
        <w:spacing w:after="0" w:line="249" w:lineRule="auto"/>
        <w:rPr>
          <w:sz w:val="20"/>
          <w:szCs w:val="20"/>
          <w:color w:val="auto"/>
        </w:rPr>
      </w:pPr>
      <w:r>
        <w:rPr>
          <w:rFonts w:ascii="Times New Roman" w:cs="Times New Roman" w:eastAsia="Times New Roman" w:hAnsi="Times New Roman"/>
          <w:sz w:val="21"/>
          <w:szCs w:val="21"/>
          <w:color w:val="auto"/>
        </w:rPr>
        <w:t>This statement is filed by: (i) Blue Torch Capital LP, a Delaware limited partnership ("Blue Torch"), which serves as the investment manager to certain funds (the "Blue Torch Funds") with respect to the shares of Class A common stock, par value $0.0001 per share ("Class A Common Stock") of GoHealth, Inc. (the "Issuer") directly held by the</w:t>
      </w:r>
    </w:p>
    <w:p>
      <w:pPr>
        <w:spacing w:after="0" w:line="1" w:lineRule="exact"/>
        <w:rPr>
          <w:sz w:val="20"/>
          <w:szCs w:val="20"/>
          <w:color w:val="auto"/>
        </w:rPr>
      </w:pPr>
    </w:p>
    <w:p>
      <w:pPr>
        <w:ind w:left="940" w:right="40" w:hanging="932"/>
        <w:spacing w:after="0" w:line="196"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Blue Torch Funds; and (ii) Kevin Genda, the Managing Member of KPG BTC Management LLC, the Sole Member of Blue Torch Capital GP LLC, the general partner of Blue Torch ("Mr. Genda," together with Blue Torch, KPG BTC Management LLC and Blue Torch Capital GP LLC, the "Blue Torch Parties"), with respect to the shares of Class A Common Stock directly held by the Blue Torch Funds. Each of Blue Torch and Mr. Genda is referred to as a "Reporting Person" and collectively as the "Reporting Persons."</w:t>
      </w:r>
    </w:p>
    <w:p>
      <w:pPr>
        <w:spacing w:after="0" w:line="14" w:lineRule="exact"/>
        <w:rPr>
          <w:rFonts w:ascii="Times New Roman" w:cs="Times New Roman" w:eastAsia="Times New Roman" w:hAnsi="Times New Roman"/>
          <w:sz w:val="43"/>
          <w:szCs w:val="43"/>
          <w:color w:val="auto"/>
          <w:vertAlign w:val="subscript"/>
        </w:rPr>
      </w:pPr>
    </w:p>
    <w:p>
      <w:pPr>
        <w:ind w:left="940" w:right="240" w:hanging="932"/>
        <w:spacing w:after="0"/>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each of the Blue Torch Parties is 150 East 58th Street, 39th Floor, New York, NY 10155.</w:t>
      </w:r>
    </w:p>
    <w:p>
      <w:pPr>
        <w:spacing w:after="0" w:line="91"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each of the Blue Torch Parties is investment management.</w:t>
      </w:r>
    </w:p>
    <w:p>
      <w:pPr>
        <w:spacing w:after="0" w:line="44" w:lineRule="exact"/>
        <w:rPr>
          <w:rFonts w:ascii="Times New Roman" w:cs="Times New Roman" w:eastAsia="Times New Roman" w:hAnsi="Times New Roman"/>
          <w:sz w:val="22"/>
          <w:szCs w:val="22"/>
          <w:color w:val="auto"/>
        </w:rPr>
      </w:pPr>
    </w:p>
    <w:p>
      <w:pPr>
        <w:ind w:left="940" w:right="3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Blue Torch Parties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Blue Torch Parties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4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Blue Torch is a Delaware limited partnership. Mr. Genda is a citizen of the United States of America. KPG BTC</w:t>
      </w:r>
    </w:p>
    <w:p>
      <w:pPr>
        <w:spacing w:after="0" w:line="14" w:lineRule="exact"/>
        <w:rPr>
          <w:rFonts w:ascii="Times New Roman" w:cs="Times New Roman" w:eastAsia="Times New Roman" w:hAnsi="Times New Roman"/>
          <w:sz w:val="42"/>
          <w:szCs w:val="42"/>
          <w:color w:val="auto"/>
          <w:vertAlign w:val="subscript"/>
        </w:rPr>
      </w:pPr>
    </w:p>
    <w:p>
      <w:pPr>
        <w:ind w:left="94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LLC is a Delaware limited liability company. Blue Torch Capital GP LLC is a Delaware limited liability company.</w:t>
      </w:r>
    </w:p>
    <w:p>
      <w:pPr>
        <w:sectPr>
          <w:pgSz w:w="11900" w:h="16861" w:orient="portrait"/>
          <w:cols w:equalWidth="0" w:num="1">
            <w:col w:w="11140"/>
          </w:cols>
          <w:pgMar w:left="360" w:top="355"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4 of this Schedule 13D is incorporated herein by reference.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51" w:lineRule="auto"/>
        <w:rPr>
          <w:sz w:val="20"/>
          <w:szCs w:val="20"/>
          <w:color w:val="auto"/>
        </w:rPr>
      </w:pPr>
      <w:r>
        <w:rPr>
          <w:rFonts w:ascii="Times New Roman" w:cs="Times New Roman" w:eastAsia="Times New Roman" w:hAnsi="Times New Roman"/>
          <w:sz w:val="21"/>
          <w:szCs w:val="21"/>
          <w:color w:val="auto"/>
        </w:rPr>
        <w:t>On August 6, 2025, in connection with its refinancing transactions, the Issuer and certain of its subsidiaries entered into Amendment No. 14 to that certain Credit Agreement, dated as of September 13, 2019 (as amended, restated, amended and restated, supplemented or otherwise modified from time to time, the "Existing Credit Agreement"). As consideration for, and condition to, the lenders' entry into the amendment to the Existing Credit Agreement, the Issuer issued shares of its Class A Common Stock to lenders thereunder and their affiliates, including the Blue Torch Funds.</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70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 to this Schedule 13D for the aggregate number of shares of Class A Common Stock and percentage of Class A Common Stock beneficially owned by each Reporting Person. The</w:t>
      </w:r>
    </w:p>
    <w:p>
      <w:pPr>
        <w:spacing w:after="0" w:line="1" w:lineRule="exact"/>
        <w:rPr>
          <w:sz w:val="20"/>
          <w:szCs w:val="20"/>
          <w:color w:val="auto"/>
        </w:rPr>
      </w:pPr>
    </w:p>
    <w:p>
      <w:pPr>
        <w:jc w:val="both"/>
        <w:ind w:left="940" w:hanging="932"/>
        <w:spacing w:after="0" w:line="189" w:lineRule="auto"/>
        <w:tabs>
          <w:tab w:leader="none" w:pos="94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aggregate percentage of Class A Common Stock reported beneficially owned by each Reporting Person is based upon 11,222,135 shares of Class A Common Stock outstanding as of August 5, 2025, based on information provided by the Issuer, plus 4,766,219 shares of Class A Common Stock issued on August 6, 2025, as reported in the Issuer's Form 8-K filed with the Securities and Exchange Commission on August 7, 2025.</w:t>
      </w:r>
    </w:p>
    <w:p>
      <w:pPr>
        <w:sectPr>
          <w:pgSz w:w="11900" w:h="16838" w:orient="portrait"/>
          <w:cols w:equalWidth="0" w:num="1">
            <w:col w:w="11140"/>
          </w:cols>
          <w:pgMar w:left="360" w:top="112" w:right="399" w:bottom="144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jc w:val="both"/>
        <w:ind w:right="520"/>
        <w:spacing w:after="0" w:line="244" w:lineRule="auto"/>
        <w:rPr>
          <w:sz w:val="20"/>
          <w:szCs w:val="20"/>
          <w:color w:val="auto"/>
        </w:rPr>
      </w:pPr>
      <w:r>
        <w:rPr>
          <w:rFonts w:ascii="Times New Roman" w:cs="Times New Roman" w:eastAsia="Times New Roman" w:hAnsi="Times New Roman"/>
          <w:sz w:val="22"/>
          <w:szCs w:val="22"/>
          <w:color w:val="auto"/>
        </w:rPr>
        <w:t>See rows (7) through (10) of the cover page to this Schedule 13D for the shares of Class A Common Stock as to which each Reporting Person has the sole or shared power to vote or direct the vote and sole or shared power to dispose or to direct the disposition.</w:t>
      </w:r>
    </w:p>
    <w:p>
      <w:pPr>
        <w:spacing w:after="0" w:line="1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Except as described in Item 4 of this Schedule 13D, no transactions in shares of Class A Common Stock have been effected by the Reporting Persons during the past sixty (60) days.</w:t>
      </w:r>
    </w:p>
    <w:p>
      <w:pPr>
        <w:ind w:right="200"/>
        <w:spacing w:after="0" w:line="244" w:lineRule="auto"/>
        <w:rPr>
          <w:sz w:val="20"/>
          <w:szCs w:val="20"/>
          <w:color w:val="auto"/>
        </w:rPr>
      </w:pPr>
      <w:r>
        <w:rPr>
          <w:rFonts w:ascii="Times New Roman" w:cs="Times New Roman" w:eastAsia="Times New Roman" w:hAnsi="Times New Roman"/>
          <w:sz w:val="22"/>
          <w:szCs w:val="22"/>
          <w:color w:val="auto"/>
        </w:rPr>
        <w:t>Other than the Reporting Persons and the Blue Torch Funds, no persons have the right to receive or the power to direct the receipt of dividends from, or the proceeds from the sale of, the shares of Class A Common Stock reported herein.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Item 4 of this Schedule 13D is incorporated herein by reference. Except as set forth herein, the Reporting Persons have no contracts, arrangements, understandings or relationships (legal or otherwise)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pacing w:after="0" w:line="200" w:lineRule="exact"/>
        <w:rPr>
          <w:sz w:val="20"/>
          <w:szCs w:val="20"/>
          <w:color w:val="auto"/>
        </w:rPr>
      </w:pPr>
    </w:p>
    <w:p>
      <w:pPr>
        <w:sectPr>
          <w:pgSz w:w="11900" w:h="16838" w:orient="portrait"/>
          <w:cols w:equalWidth="0" w:num="2">
            <w:col w:w="620" w:space="320"/>
            <w:col w:w="10200"/>
          </w:cols>
          <w:pgMar w:left="360" w:top="112" w:right="399" w:bottom="1440"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Blue Torch Capital LP</w:t>
      </w:r>
    </w:p>
    <w:p>
      <w:pPr>
        <w:spacing w:after="0" w:line="152"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Genda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Kevin Genda, Chief Executive Officer</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Kevin Genda</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Genda</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Kevin Genda, Individually</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ectPr>
          <w:pgSz w:w="11900" w:h="16838" w:orient="portrait"/>
          <w:cols w:equalWidth="0" w:num="1">
            <w:col w:w="11140"/>
          </w:cols>
          <w:pgMar w:left="360" w:top="112" w:right="399" w:bottom="1440"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JOINT ACQUISITION STATEMENT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13D is filed on behalf of each of the undersigned and that all subsequent amendments to such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 except to the extent that he or it knows that such information is inaccurate.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12,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BLUE TORCH CAPITAL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Kevin Genda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KEVIN GENDA</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2025-08-12T09:24:22Z</dcterms:created>
  <dcterms:modified xsi:type="dcterms:W3CDTF">2025-08-12T09:24:22Z</dcterms:modified>
</cp:coreProperties>
</file>