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24, 2022</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05"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14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5.07.</w:t>
        <w:tab/>
        <w:t>Submission of Matters to a Vote of Security Holders.</w:t>
      </w:r>
    </w:p>
    <w:p>
      <w:pPr>
        <w:spacing w:after="0" w:line="100"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On October 24, 2022, the Company held a Special Meeting of Stockholders (the “Annual Meeting”). A total of 294,633,382 shares of the Company’s Class A and Class B common stock (collectively, “Common Stock”) were present in person or represented by proxy at the Annual Meeting, representing approximately 91% percent of the Company’s outstanding Common Stock as of the September 6, 2022 record date. The following are the voting results for the proposal considered and voted upon at the Special Meeting, which was described in the Company’s Definitive Proxy Statement filed with the Securities and Exchange Commission on September 19, 2022.</w:t>
      </w:r>
    </w:p>
    <w:p>
      <w:pPr>
        <w:spacing w:after="0" w:line="7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Item 1 — To adopt and approve an amendment to our amended and restated certificate of incorporation to effect a reverse stock split of our outstanding shares of Class A common stock and Class B common stock, at a reverse stock split ratio of 1-for-5 through 1-for-15, as determined by our Board at a later date.</w:t>
      </w:r>
    </w:p>
    <w:p>
      <w:pPr>
        <w:spacing w:after="0" w:line="357"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8"/>
                <w:szCs w:val="18"/>
                <w:color w:val="auto"/>
                <w:w w:val="97"/>
              </w:rPr>
              <w:t>Votes For</w:t>
            </w:r>
          </w:p>
        </w:tc>
        <w:tc>
          <w:tcPr>
            <w:tcW w:w="2820" w:type="dxa"/>
            <w:vAlign w:val="bottom"/>
            <w:gridSpan w:val="3"/>
          </w:tcPr>
          <w:p>
            <w:pPr>
              <w:jc w:val="center"/>
              <w:ind w:right="560"/>
              <w:spacing w:after="0"/>
              <w:rPr>
                <w:sz w:val="20"/>
                <w:szCs w:val="20"/>
                <w:color w:val="auto"/>
              </w:rPr>
            </w:pPr>
            <w:r>
              <w:rPr>
                <w:rFonts w:ascii="Arial" w:cs="Arial" w:eastAsia="Arial" w:hAnsi="Arial"/>
                <w:sz w:val="18"/>
                <w:szCs w:val="18"/>
                <w:color w:val="auto"/>
                <w:w w:val="99"/>
              </w:rPr>
              <w:t>Votes Against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Votes Abstain</w:t>
            </w:r>
          </w:p>
        </w:tc>
        <w:tc>
          <w:tcPr>
            <w:tcW w:w="10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Broker Non-Vote</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54"/>
        </w:trPr>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w w:val="97"/>
              </w:rPr>
              <w:t>288,575,991</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5,864,651</w:t>
            </w:r>
          </w:p>
        </w:tc>
        <w:tc>
          <w:tcPr>
            <w:tcW w:w="1140" w:type="dxa"/>
            <w:vAlign w:val="bottom"/>
          </w:tcPr>
          <w:p>
            <w:pPr>
              <w:spacing w:after="0"/>
              <w:rPr>
                <w:sz w:val="22"/>
                <w:szCs w:val="22"/>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192,740</w:t>
            </w:r>
          </w:p>
        </w:tc>
        <w:tc>
          <w:tcPr>
            <w:tcW w:w="2340" w:type="dxa"/>
            <w:vAlign w:val="bottom"/>
            <w:gridSpan w:val="2"/>
          </w:tcPr>
          <w:p>
            <w:pPr>
              <w:jc w:val="right"/>
              <w:ind w:right="53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1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October 25, 2022</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ind w:left="6020"/>
        <w:spacing w:after="0"/>
        <w:rPr>
          <w:sz w:val="20"/>
          <w:szCs w:val="20"/>
          <w:color w:val="auto"/>
        </w:rPr>
      </w:pPr>
      <w:r>
        <w:rPr>
          <w:rFonts w:ascii="Arial" w:cs="Arial" w:eastAsia="Arial" w:hAnsi="Arial"/>
          <w:sz w:val="16"/>
          <w:szCs w:val="16"/>
          <w:color w:val="auto"/>
        </w:rPr>
        <w:t>Chief Legal Officer and Corporate Secretary</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2022-10-25T16:00:47Z</dcterms:created>
  <dcterms:modified xsi:type="dcterms:W3CDTF">2022-10-25T16:00:47Z</dcterms:modified>
</cp:coreProperties>
</file>