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21, 2021</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ind w:right="30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On December 19, 2021, the Board of Directors (the “Board”) of GoHealth, Inc. (the “Company”) approved the adoption of the GoHealth, Inc. 2021 Employment Inducement Award Plan (the “Inducement Award Plan”), which was adopted by the Board without stockholder approval pursuant to Rule 5635(c)(4) of the Nasdaq Stock Market LLC listing rules (“Rule 5635(c)(4)”). In accordance with Rule 5635(c)(4), awards under the Inducement Award Plan may only be made to a newly hired employee who has not previously been a member of the Board, or an employee who is being rehired following a bona fide period of non-employment by the Company or a subsidiary, as a material inducement to the employee’s entering into employment with the Company or its subsidiary. An aggregate of 4,000,000 shares of the Company’s Class A common stock have been reserved for issuance under the Inducement Award Plan.</w:t>
      </w:r>
    </w:p>
    <w:p>
      <w:pPr>
        <w:spacing w:after="0" w:line="22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As previously disclosed, on December 6, 2021, the Board appointed Vance Johnston as the Chief Financial Officer, effective on December 7, 2021 (the “CFO Effective Date”) and agreed to grant Mr. Johnston equity awards comprised of initial equity grant valued at $2,000,000, one-half of which to be granted in the form of restricted stock units and the other half in the form of stock options (the “Initial Equity Awards”). The Initial Equity Awards were issued to Mr. Johnston on December 21, 2021, under the Inducement Award Plan, in the form of (i) an option to purchase 438,099 shares of the Company’s Class A common stock and (ii) 281,690 restricted stock units. The option to purchase 438,099 shares of the Company’s Class A common stock was issued to Mr. Johnston at an exercise price per share of $3.55, which was the closing price per share of the Company’s Class A common stock on the option’s date of grant. The Initial Equity Awards each vest (subject to Mr. Johnston’s continued service) as to one-third on each of the first three anniversaries of the CFO Effective Date.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December 22, 2021</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ind w:left="6020"/>
        <w:spacing w:after="0"/>
        <w:rPr>
          <w:sz w:val="20"/>
          <w:szCs w:val="20"/>
          <w:color w:val="auto"/>
        </w:rPr>
      </w:pPr>
      <w:r>
        <w:rPr>
          <w:rFonts w:ascii="Arial" w:cs="Arial" w:eastAsia="Arial" w:hAnsi="Arial"/>
          <w:sz w:val="16"/>
          <w:szCs w:val="16"/>
          <w:color w:val="auto"/>
        </w:rPr>
        <w:t>Chief Executive Officer</w:t>
      </w:r>
    </w:p>
    <w:sectPr>
      <w:pgSz w:w="11900" w:h="16838" w:orient="portrait"/>
      <w:cols w:equalWidth="0" w:num="1">
        <w:col w:w="11220"/>
      </w:cols>
      <w:pgMar w:left="320" w:top="99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2021-12-22T15:04:44Z</dcterms:created>
  <dcterms:modified xsi:type="dcterms:W3CDTF">2021-12-22T15:04:44Z</dcterms:modified>
</cp:coreProperties>
</file>