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June 12, 2024</w:t>
      </w:r>
    </w:p>
    <w:p>
      <w:pPr>
        <w:spacing w:after="0" w:line="123"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2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405" w:right="339" w:bottom="1440" w:gutter="0" w:footer="0" w:header="0"/>
        </w:sectPr>
      </w:pPr>
    </w:p>
    <w:p>
      <w:pPr>
        <w:spacing w:after="0" w:line="164"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59" w:lineRule="exact"/>
        <w:rPr>
          <w:sz w:val="24"/>
          <w:szCs w:val="24"/>
          <w:color w:val="auto"/>
        </w:rPr>
      </w:pPr>
    </w:p>
    <w:p>
      <w:pPr>
        <w:sectPr>
          <w:pgSz w:w="11900" w:h="16838" w:orient="portrait"/>
          <w:cols w:equalWidth="0" w:num="3">
            <w:col w:w="4500" w:space="720"/>
            <w:col w:w="3000" w:space="720"/>
            <w:col w:w="2300"/>
          </w:cols>
          <w:pgMar w:left="320" w:top="1405"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405" w:right="339" w:bottom="1440" w:gutter="0" w:footer="0" w:header="0"/>
          <w:type w:val="continuous"/>
        </w:sectPr>
      </w:pPr>
    </w:p>
    <w:p>
      <w:pPr>
        <w:spacing w:after="0" w:line="102" w:lineRule="exact"/>
        <w:rPr>
          <w:sz w:val="24"/>
          <w:szCs w:val="24"/>
          <w:color w:val="auto"/>
        </w:rPr>
      </w:pPr>
    </w:p>
    <w:p>
      <w:pPr>
        <w:ind w:left="480"/>
        <w:spacing w:after="0"/>
        <w:rPr>
          <w:sz w:val="20"/>
          <w:szCs w:val="20"/>
          <w:color w:val="auto"/>
        </w:rPr>
      </w:pPr>
      <w:r>
        <w:rPr>
          <w:rFonts w:ascii="Arial" w:cs="Arial" w:eastAsia="Arial" w:hAnsi="Arial"/>
          <w:sz w:val="16"/>
          <w:szCs w:val="16"/>
          <w:b w:val="1"/>
          <w:bCs w:val="1"/>
          <w:color w:val="auto"/>
        </w:rPr>
        <w:t>222 W Merchandise Mart Plaza, Suite 1750</w:t>
      </w:r>
    </w:p>
    <w:p>
      <w:pPr>
        <w:sectPr>
          <w:pgSz w:w="11900" w:h="16838" w:orient="portrait"/>
          <w:cols w:equalWidth="0" w:num="1">
            <w:col w:w="11240"/>
          </w:cols>
          <w:pgMar w:left="320" w:top="1405" w:right="339" w:bottom="1440" w:gutter="0" w:footer="0" w:header="0"/>
          <w:type w:val="continuous"/>
        </w:sectPr>
      </w:pPr>
    </w:p>
    <w:p>
      <w:pPr>
        <w:spacing w:after="0" w:line="73" w:lineRule="exact"/>
        <w:rPr>
          <w:sz w:val="24"/>
          <w:szCs w:val="24"/>
          <w:color w:val="auto"/>
        </w:rPr>
      </w:pPr>
    </w:p>
    <w:p>
      <w:pPr>
        <w:ind w:left="14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59" w:lineRule="exact"/>
        <w:rPr>
          <w:sz w:val="24"/>
          <w:szCs w:val="24"/>
          <w:color w:val="auto"/>
        </w:rPr>
      </w:pPr>
    </w:p>
    <w:p>
      <w:pPr>
        <w:sectPr>
          <w:pgSz w:w="11900" w:h="16838" w:orient="portrait"/>
          <w:cols w:equalWidth="0" w:num="2">
            <w:col w:w="8540" w:space="720"/>
            <w:col w:w="1980"/>
          </w:cols>
          <w:pgMar w:left="320" w:top="1405" w:right="339" w:bottom="1440" w:gutter="0" w:footer="0" w:header="0"/>
          <w:type w:val="continuous"/>
        </w:sectPr>
      </w:pPr>
    </w:p>
    <w:p>
      <w:pPr>
        <w:ind w:left="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380" w:space="720"/>
            <w:col w:w="2140"/>
          </w:cols>
          <w:pgMar w:left="320" w:top="1405" w:right="3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2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10"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02"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339"/>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3"/>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21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bl>
    <w:p>
      <w:pPr>
        <w:spacing w:after="0" w:line="204"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49" w:lineRule="exact"/>
        <w:rPr>
          <w:sz w:val="24"/>
          <w:szCs w:val="24"/>
          <w:color w:val="auto"/>
        </w:rPr>
      </w:pPr>
    </w:p>
    <w:p>
      <w:pPr>
        <w:ind w:right="14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5.07. Submission of Matters to a Vote of Security Holders.</w:t>
      </w:r>
    </w:p>
    <w:p>
      <w:pPr>
        <w:spacing w:after="0" w:line="235"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On June 12, 2024, GoHealth, Inc. (the “Company”) held its 2024 Annual Meeting of Stockholders (the “Annual Meeting”). The following are the voting results for the proposals considered and voted upon at the Annual Meeting, each of which was described in the Company’s Definitive Proxy Statement filed with the Securities and Exchange Commission on April 26, 2024.</w:t>
      </w:r>
    </w:p>
    <w:p>
      <w:pPr>
        <w:spacing w:after="0" w:line="205"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Proposal 1 — Election of three Class I directors for a term of office expiring on the date of the annual meeting of stockholders to be held in 2027 and until their respective successors have been duly elected and qualified.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6"/>
                <w:szCs w:val="16"/>
                <w:color w:val="auto"/>
                <w:w w:val="98"/>
              </w:rPr>
              <w:t>Votes FOR</w:t>
            </w:r>
          </w:p>
        </w:tc>
        <w:tc>
          <w:tcPr>
            <w:tcW w:w="17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Votes WITHHELD</w:t>
            </w:r>
          </w:p>
        </w:tc>
        <w:tc>
          <w:tcPr>
            <w:tcW w:w="760" w:type="dxa"/>
            <w:vAlign w:val="bottom"/>
          </w:tcPr>
          <w:p>
            <w:pPr>
              <w:spacing w:after="0"/>
              <w:rPr>
                <w:sz w:val="16"/>
                <w:szCs w:val="16"/>
                <w:color w:val="auto"/>
              </w:rPr>
            </w:pPr>
          </w:p>
        </w:tc>
        <w:tc>
          <w:tcPr>
            <w:tcW w:w="2040" w:type="dxa"/>
            <w:vAlign w:val="bottom"/>
            <w:gridSpan w:val="2"/>
          </w:tcPr>
          <w:p>
            <w:pPr>
              <w:jc w:val="center"/>
              <w:ind w:left="679"/>
              <w:spacing w:after="0"/>
              <w:rPr>
                <w:sz w:val="20"/>
                <w:szCs w:val="20"/>
                <w:color w:val="auto"/>
              </w:rPr>
            </w:pPr>
            <w:r>
              <w:rPr>
                <w:rFonts w:ascii="Arial" w:cs="Arial" w:eastAsia="Arial" w:hAnsi="Arial"/>
                <w:sz w:val="16"/>
                <w:szCs w:val="16"/>
                <w:color w:val="auto"/>
              </w:rPr>
              <w:t>Broker Non-Votes</w:t>
            </w:r>
          </w:p>
        </w:tc>
      </w:tr>
      <w:tr>
        <w:trPr>
          <w:trHeight w:val="20"/>
        </w:trPr>
        <w:tc>
          <w:tcPr>
            <w:tcW w:w="2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248"/>
        </w:trPr>
        <w:tc>
          <w:tcPr>
            <w:tcW w:w="2480" w:type="dxa"/>
            <w:vAlign w:val="bottom"/>
          </w:tcPr>
          <w:p>
            <w:pPr>
              <w:spacing w:after="0"/>
              <w:rPr>
                <w:sz w:val="20"/>
                <w:szCs w:val="20"/>
                <w:color w:val="auto"/>
              </w:rPr>
            </w:pPr>
            <w:r>
              <w:rPr>
                <w:rFonts w:ascii="Arial" w:cs="Arial" w:eastAsia="Arial" w:hAnsi="Arial"/>
                <w:sz w:val="16"/>
                <w:szCs w:val="16"/>
                <w:color w:val="auto"/>
              </w:rPr>
              <w:t>Alexander Timm</w:t>
            </w:r>
          </w:p>
        </w:tc>
        <w:tc>
          <w:tcPr>
            <w:tcW w:w="3880" w:type="dxa"/>
            <w:vAlign w:val="bottom"/>
            <w:gridSpan w:val="3"/>
          </w:tcPr>
          <w:p>
            <w:pPr>
              <w:ind w:left="1320"/>
              <w:spacing w:after="0"/>
              <w:rPr>
                <w:sz w:val="20"/>
                <w:szCs w:val="20"/>
                <w:color w:val="auto"/>
              </w:rPr>
            </w:pPr>
            <w:r>
              <w:rPr>
                <w:rFonts w:ascii="Arial" w:cs="Arial" w:eastAsia="Arial" w:hAnsi="Arial"/>
                <w:sz w:val="16"/>
                <w:szCs w:val="16"/>
                <w:color w:val="auto"/>
              </w:rPr>
              <w:t>17,574,675</w:t>
            </w:r>
          </w:p>
        </w:tc>
        <w:tc>
          <w:tcPr>
            <w:tcW w:w="1300" w:type="dxa"/>
            <w:vAlign w:val="bottom"/>
          </w:tcPr>
          <w:p>
            <w:pPr>
              <w:jc w:val="center"/>
              <w:spacing w:after="0"/>
              <w:rPr>
                <w:sz w:val="20"/>
                <w:szCs w:val="20"/>
                <w:color w:val="auto"/>
              </w:rPr>
            </w:pPr>
            <w:r>
              <w:rPr>
                <w:rFonts w:ascii="Arial" w:cs="Arial" w:eastAsia="Arial" w:hAnsi="Arial"/>
                <w:sz w:val="16"/>
                <w:szCs w:val="16"/>
                <w:color w:val="auto"/>
              </w:rPr>
              <w:t>399,944</w:t>
            </w:r>
          </w:p>
        </w:tc>
        <w:tc>
          <w:tcPr>
            <w:tcW w:w="760" w:type="dxa"/>
            <w:vAlign w:val="bottom"/>
          </w:tcPr>
          <w:p>
            <w:pPr>
              <w:spacing w:after="0"/>
              <w:rPr>
                <w:sz w:val="21"/>
                <w:szCs w:val="21"/>
                <w:color w:val="auto"/>
              </w:rPr>
            </w:pPr>
          </w:p>
        </w:tc>
        <w:tc>
          <w:tcPr>
            <w:tcW w:w="2040" w:type="dxa"/>
            <w:vAlign w:val="bottom"/>
            <w:gridSpan w:val="2"/>
          </w:tcPr>
          <w:p>
            <w:pPr>
              <w:jc w:val="center"/>
              <w:ind w:left="679"/>
              <w:spacing w:after="0"/>
              <w:rPr>
                <w:sz w:val="20"/>
                <w:szCs w:val="20"/>
                <w:color w:val="auto"/>
              </w:rPr>
            </w:pPr>
            <w:r>
              <w:rPr>
                <w:rFonts w:ascii="Arial" w:cs="Arial" w:eastAsia="Arial" w:hAnsi="Arial"/>
                <w:sz w:val="16"/>
                <w:szCs w:val="16"/>
                <w:color w:val="auto"/>
              </w:rPr>
              <w:t>3,388,687</w:t>
            </w:r>
          </w:p>
        </w:tc>
      </w:tr>
      <w:tr>
        <w:trPr>
          <w:trHeight w:val="230"/>
        </w:trPr>
        <w:tc>
          <w:tcPr>
            <w:tcW w:w="2480" w:type="dxa"/>
            <w:vAlign w:val="bottom"/>
          </w:tcPr>
          <w:p>
            <w:pPr>
              <w:spacing w:after="0"/>
              <w:rPr>
                <w:sz w:val="20"/>
                <w:szCs w:val="20"/>
                <w:color w:val="auto"/>
              </w:rPr>
            </w:pPr>
            <w:r>
              <w:rPr>
                <w:rFonts w:ascii="Arial" w:cs="Arial" w:eastAsia="Arial" w:hAnsi="Arial"/>
                <w:sz w:val="16"/>
                <w:szCs w:val="16"/>
                <w:color w:val="auto"/>
              </w:rPr>
              <w:t>David Fisher</w:t>
            </w:r>
          </w:p>
        </w:tc>
        <w:tc>
          <w:tcPr>
            <w:tcW w:w="3880" w:type="dxa"/>
            <w:vAlign w:val="bottom"/>
            <w:gridSpan w:val="3"/>
          </w:tcPr>
          <w:p>
            <w:pPr>
              <w:ind w:left="1320"/>
              <w:spacing w:after="0"/>
              <w:rPr>
                <w:sz w:val="20"/>
                <w:szCs w:val="20"/>
                <w:color w:val="auto"/>
              </w:rPr>
            </w:pPr>
            <w:r>
              <w:rPr>
                <w:rFonts w:ascii="Arial" w:cs="Arial" w:eastAsia="Arial" w:hAnsi="Arial"/>
                <w:sz w:val="16"/>
                <w:szCs w:val="16"/>
                <w:color w:val="auto"/>
              </w:rPr>
              <w:t>17,334,868</w:t>
            </w:r>
          </w:p>
        </w:tc>
        <w:tc>
          <w:tcPr>
            <w:tcW w:w="1300" w:type="dxa"/>
            <w:vAlign w:val="bottom"/>
          </w:tcPr>
          <w:p>
            <w:pPr>
              <w:jc w:val="center"/>
              <w:spacing w:after="0"/>
              <w:rPr>
                <w:sz w:val="20"/>
                <w:szCs w:val="20"/>
                <w:color w:val="auto"/>
              </w:rPr>
            </w:pPr>
            <w:r>
              <w:rPr>
                <w:rFonts w:ascii="Arial" w:cs="Arial" w:eastAsia="Arial" w:hAnsi="Arial"/>
                <w:sz w:val="16"/>
                <w:szCs w:val="16"/>
                <w:color w:val="auto"/>
              </w:rPr>
              <w:t>639,751</w:t>
            </w:r>
          </w:p>
        </w:tc>
        <w:tc>
          <w:tcPr>
            <w:tcW w:w="760" w:type="dxa"/>
            <w:vAlign w:val="bottom"/>
          </w:tcPr>
          <w:p>
            <w:pPr>
              <w:spacing w:after="0"/>
              <w:rPr>
                <w:sz w:val="19"/>
                <w:szCs w:val="19"/>
                <w:color w:val="auto"/>
              </w:rPr>
            </w:pPr>
          </w:p>
        </w:tc>
        <w:tc>
          <w:tcPr>
            <w:tcW w:w="2040" w:type="dxa"/>
            <w:vAlign w:val="bottom"/>
            <w:gridSpan w:val="2"/>
          </w:tcPr>
          <w:p>
            <w:pPr>
              <w:jc w:val="center"/>
              <w:ind w:left="679"/>
              <w:spacing w:after="0"/>
              <w:rPr>
                <w:sz w:val="20"/>
                <w:szCs w:val="20"/>
                <w:color w:val="auto"/>
              </w:rPr>
            </w:pPr>
            <w:r>
              <w:rPr>
                <w:rFonts w:ascii="Arial" w:cs="Arial" w:eastAsia="Arial" w:hAnsi="Arial"/>
                <w:sz w:val="16"/>
                <w:szCs w:val="16"/>
                <w:color w:val="auto"/>
              </w:rPr>
              <w:t>3,388,687</w:t>
            </w:r>
          </w:p>
        </w:tc>
      </w:tr>
      <w:tr>
        <w:trPr>
          <w:trHeight w:val="229"/>
        </w:trPr>
        <w:tc>
          <w:tcPr>
            <w:tcW w:w="2480" w:type="dxa"/>
            <w:vAlign w:val="bottom"/>
          </w:tcPr>
          <w:p>
            <w:pPr>
              <w:spacing w:after="0"/>
              <w:rPr>
                <w:sz w:val="20"/>
                <w:szCs w:val="20"/>
                <w:color w:val="auto"/>
              </w:rPr>
            </w:pPr>
            <w:r>
              <w:rPr>
                <w:rFonts w:ascii="Arial" w:cs="Arial" w:eastAsia="Arial" w:hAnsi="Arial"/>
                <w:sz w:val="16"/>
                <w:szCs w:val="16"/>
                <w:color w:val="auto"/>
              </w:rPr>
              <w:t>Vijay Kotte</w:t>
            </w:r>
          </w:p>
        </w:tc>
        <w:tc>
          <w:tcPr>
            <w:tcW w:w="3880" w:type="dxa"/>
            <w:vAlign w:val="bottom"/>
            <w:gridSpan w:val="3"/>
          </w:tcPr>
          <w:p>
            <w:pPr>
              <w:ind w:left="1320"/>
              <w:spacing w:after="0"/>
              <w:rPr>
                <w:sz w:val="20"/>
                <w:szCs w:val="20"/>
                <w:color w:val="auto"/>
              </w:rPr>
            </w:pPr>
            <w:r>
              <w:rPr>
                <w:rFonts w:ascii="Arial" w:cs="Arial" w:eastAsia="Arial" w:hAnsi="Arial"/>
                <w:sz w:val="16"/>
                <w:szCs w:val="16"/>
                <w:color w:val="auto"/>
              </w:rPr>
              <w:t>17,823,710</w:t>
            </w:r>
          </w:p>
        </w:tc>
        <w:tc>
          <w:tcPr>
            <w:tcW w:w="1300" w:type="dxa"/>
            <w:vAlign w:val="bottom"/>
          </w:tcPr>
          <w:p>
            <w:pPr>
              <w:jc w:val="center"/>
              <w:spacing w:after="0"/>
              <w:rPr>
                <w:sz w:val="20"/>
                <w:szCs w:val="20"/>
                <w:color w:val="auto"/>
              </w:rPr>
            </w:pPr>
            <w:r>
              <w:rPr>
                <w:rFonts w:ascii="Arial" w:cs="Arial" w:eastAsia="Arial" w:hAnsi="Arial"/>
                <w:sz w:val="16"/>
                <w:szCs w:val="16"/>
                <w:color w:val="auto"/>
              </w:rPr>
              <w:t>150,909</w:t>
            </w:r>
          </w:p>
        </w:tc>
        <w:tc>
          <w:tcPr>
            <w:tcW w:w="760" w:type="dxa"/>
            <w:vAlign w:val="bottom"/>
          </w:tcPr>
          <w:p>
            <w:pPr>
              <w:spacing w:after="0"/>
              <w:rPr>
                <w:sz w:val="19"/>
                <w:szCs w:val="19"/>
                <w:color w:val="auto"/>
              </w:rPr>
            </w:pPr>
          </w:p>
        </w:tc>
        <w:tc>
          <w:tcPr>
            <w:tcW w:w="2040" w:type="dxa"/>
            <w:vAlign w:val="bottom"/>
            <w:gridSpan w:val="2"/>
          </w:tcPr>
          <w:p>
            <w:pPr>
              <w:jc w:val="center"/>
              <w:ind w:left="679"/>
              <w:spacing w:after="0"/>
              <w:rPr>
                <w:sz w:val="20"/>
                <w:szCs w:val="20"/>
                <w:color w:val="auto"/>
              </w:rPr>
            </w:pPr>
            <w:r>
              <w:rPr>
                <w:rFonts w:ascii="Arial" w:cs="Arial" w:eastAsia="Arial" w:hAnsi="Arial"/>
                <w:sz w:val="16"/>
                <w:szCs w:val="16"/>
                <w:color w:val="auto"/>
              </w:rPr>
              <w:t>3,388,687</w:t>
            </w:r>
          </w:p>
        </w:tc>
      </w:tr>
    </w:tbl>
    <w:p>
      <w:pPr>
        <w:spacing w:after="0" w:line="312"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Proposal 2 — Ratification of the appointment of Ernst &amp; Young LLP as the Company’s independent registered public accounting firm for the year ending December 31, 2024.</w:t>
      </w:r>
    </w:p>
    <w:p>
      <w:pPr>
        <w:spacing w:after="0" w:line="215"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Votes FOR</w:t>
            </w:r>
          </w:p>
        </w:tc>
        <w:tc>
          <w:tcPr>
            <w:tcW w:w="2460" w:type="dxa"/>
            <w:vAlign w:val="bottom"/>
            <w:gridSpan w:val="2"/>
          </w:tcPr>
          <w:p>
            <w:pPr>
              <w:jc w:val="center"/>
              <w:ind w:right="1300"/>
              <w:spacing w:after="0"/>
              <w:rPr>
                <w:sz w:val="20"/>
                <w:szCs w:val="20"/>
                <w:color w:val="auto"/>
              </w:rPr>
            </w:pPr>
            <w:r>
              <w:rPr>
                <w:rFonts w:ascii="Arial" w:cs="Arial" w:eastAsia="Arial" w:hAnsi="Arial"/>
                <w:sz w:val="16"/>
                <w:szCs w:val="16"/>
                <w:color w:val="auto"/>
              </w:rPr>
              <w:t>Votes AGAINST</w:t>
            </w:r>
          </w:p>
        </w:tc>
        <w:tc>
          <w:tcPr>
            <w:tcW w:w="1980" w:type="dxa"/>
            <w:vAlign w:val="bottom"/>
            <w:gridSpan w:val="2"/>
          </w:tcPr>
          <w:p>
            <w:pPr>
              <w:jc w:val="center"/>
              <w:ind w:right="620"/>
              <w:spacing w:after="0"/>
              <w:rPr>
                <w:sz w:val="20"/>
                <w:szCs w:val="20"/>
                <w:color w:val="auto"/>
              </w:rPr>
            </w:pPr>
            <w:r>
              <w:rPr>
                <w:rFonts w:ascii="Arial" w:cs="Arial" w:eastAsia="Arial" w:hAnsi="Arial"/>
                <w:sz w:val="16"/>
                <w:szCs w:val="16"/>
                <w:color w:val="auto"/>
                <w:w w:val="99"/>
              </w:rPr>
              <w:t>Votes ABSTAINED</w:t>
            </w:r>
          </w:p>
        </w:tc>
        <w:tc>
          <w:tcPr>
            <w:tcW w:w="1900" w:type="dxa"/>
            <w:vAlign w:val="bottom"/>
            <w:gridSpan w:val="2"/>
          </w:tcPr>
          <w:p>
            <w:pPr>
              <w:jc w:val="center"/>
              <w:ind w:left="539"/>
              <w:spacing w:after="0"/>
              <w:rPr>
                <w:sz w:val="20"/>
                <w:szCs w:val="20"/>
                <w:color w:val="auto"/>
              </w:rPr>
            </w:pPr>
            <w:r>
              <w:rPr>
                <w:rFonts w:ascii="Arial" w:cs="Arial" w:eastAsia="Arial" w:hAnsi="Arial"/>
                <w:sz w:val="16"/>
                <w:szCs w:val="16"/>
                <w:color w:val="auto"/>
              </w:rPr>
              <w:t>Broker Non-Votes</w:t>
            </w: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248"/>
        </w:trPr>
        <w:tc>
          <w:tcPr>
            <w:tcW w:w="2360" w:type="dxa"/>
            <w:vAlign w:val="bottom"/>
            <w:gridSpan w:val="3"/>
          </w:tcPr>
          <w:p>
            <w:pPr>
              <w:spacing w:after="0"/>
              <w:rPr>
                <w:sz w:val="20"/>
                <w:szCs w:val="20"/>
                <w:color w:val="auto"/>
              </w:rPr>
            </w:pPr>
            <w:r>
              <w:rPr>
                <w:rFonts w:ascii="Arial" w:cs="Arial" w:eastAsia="Arial" w:hAnsi="Arial"/>
                <w:sz w:val="16"/>
                <w:szCs w:val="16"/>
                <w:color w:val="auto"/>
              </w:rPr>
              <w:t>21,315,297</w:t>
            </w: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30,800</w:t>
            </w:r>
          </w:p>
        </w:tc>
        <w:tc>
          <w:tcPr>
            <w:tcW w:w="1300" w:type="dxa"/>
            <w:vAlign w:val="bottom"/>
          </w:tcPr>
          <w:p>
            <w:pPr>
              <w:spacing w:after="0"/>
              <w:rPr>
                <w:sz w:val="21"/>
                <w:szCs w:val="21"/>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17,209</w:t>
            </w:r>
          </w:p>
        </w:tc>
        <w:tc>
          <w:tcPr>
            <w:tcW w:w="620" w:type="dxa"/>
            <w:vAlign w:val="bottom"/>
          </w:tcPr>
          <w:p>
            <w:pPr>
              <w:spacing w:after="0"/>
              <w:rPr>
                <w:sz w:val="21"/>
                <w:szCs w:val="21"/>
                <w:color w:val="auto"/>
              </w:rPr>
            </w:pPr>
          </w:p>
        </w:tc>
        <w:tc>
          <w:tcPr>
            <w:tcW w:w="1900" w:type="dxa"/>
            <w:vAlign w:val="bottom"/>
            <w:gridSpan w:val="2"/>
          </w:tcPr>
          <w:p>
            <w:pPr>
              <w:jc w:val="right"/>
              <w:ind w:right="600"/>
              <w:spacing w:after="0"/>
              <w:rPr>
                <w:sz w:val="20"/>
                <w:szCs w:val="20"/>
                <w:color w:val="auto"/>
              </w:rPr>
            </w:pPr>
            <w:r>
              <w:rPr>
                <w:rFonts w:ascii="Arial" w:cs="Arial" w:eastAsia="Arial" w:hAnsi="Arial"/>
                <w:sz w:val="16"/>
                <w:szCs w:val="16"/>
                <w:color w:val="auto"/>
              </w:rPr>
              <w:t>0</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Proposal 3 — Approval, on an advisory basis, of the compensation of the Company’s named executive officers.</w:t>
      </w:r>
    </w:p>
    <w:p>
      <w:pPr>
        <w:spacing w:after="0" w:line="281"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Votes FOR</w:t>
            </w:r>
          </w:p>
        </w:tc>
        <w:tc>
          <w:tcPr>
            <w:tcW w:w="2460" w:type="dxa"/>
            <w:vAlign w:val="bottom"/>
            <w:gridSpan w:val="2"/>
          </w:tcPr>
          <w:p>
            <w:pPr>
              <w:jc w:val="center"/>
              <w:ind w:right="1300"/>
              <w:spacing w:after="0"/>
              <w:rPr>
                <w:sz w:val="20"/>
                <w:szCs w:val="20"/>
                <w:color w:val="auto"/>
              </w:rPr>
            </w:pPr>
            <w:r>
              <w:rPr>
                <w:rFonts w:ascii="Arial" w:cs="Arial" w:eastAsia="Arial" w:hAnsi="Arial"/>
                <w:sz w:val="16"/>
                <w:szCs w:val="16"/>
                <w:color w:val="auto"/>
              </w:rPr>
              <w:t>Votes AGAINST</w:t>
            </w:r>
          </w:p>
        </w:tc>
        <w:tc>
          <w:tcPr>
            <w:tcW w:w="1980" w:type="dxa"/>
            <w:vAlign w:val="bottom"/>
            <w:gridSpan w:val="2"/>
          </w:tcPr>
          <w:p>
            <w:pPr>
              <w:jc w:val="center"/>
              <w:ind w:right="620"/>
              <w:spacing w:after="0"/>
              <w:rPr>
                <w:sz w:val="20"/>
                <w:szCs w:val="20"/>
                <w:color w:val="auto"/>
              </w:rPr>
            </w:pPr>
            <w:r>
              <w:rPr>
                <w:rFonts w:ascii="Arial" w:cs="Arial" w:eastAsia="Arial" w:hAnsi="Arial"/>
                <w:sz w:val="16"/>
                <w:szCs w:val="16"/>
                <w:color w:val="auto"/>
                <w:w w:val="99"/>
              </w:rPr>
              <w:t>Votes ABSTAINED</w:t>
            </w:r>
          </w:p>
        </w:tc>
        <w:tc>
          <w:tcPr>
            <w:tcW w:w="1900" w:type="dxa"/>
            <w:vAlign w:val="bottom"/>
            <w:gridSpan w:val="2"/>
          </w:tcPr>
          <w:p>
            <w:pPr>
              <w:jc w:val="center"/>
              <w:ind w:left="539"/>
              <w:spacing w:after="0"/>
              <w:rPr>
                <w:sz w:val="20"/>
                <w:szCs w:val="20"/>
                <w:color w:val="auto"/>
              </w:rPr>
            </w:pPr>
            <w:r>
              <w:rPr>
                <w:rFonts w:ascii="Arial" w:cs="Arial" w:eastAsia="Arial" w:hAnsi="Arial"/>
                <w:sz w:val="16"/>
                <w:szCs w:val="16"/>
                <w:color w:val="auto"/>
              </w:rPr>
              <w:t>Broker Non-Votes</w:t>
            </w: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248"/>
        </w:trPr>
        <w:tc>
          <w:tcPr>
            <w:tcW w:w="2360" w:type="dxa"/>
            <w:vAlign w:val="bottom"/>
            <w:gridSpan w:val="3"/>
          </w:tcPr>
          <w:p>
            <w:pPr>
              <w:spacing w:after="0"/>
              <w:rPr>
                <w:sz w:val="20"/>
                <w:szCs w:val="20"/>
                <w:color w:val="auto"/>
              </w:rPr>
            </w:pPr>
            <w:r>
              <w:rPr>
                <w:rFonts w:ascii="Arial" w:cs="Arial" w:eastAsia="Arial" w:hAnsi="Arial"/>
                <w:sz w:val="16"/>
                <w:szCs w:val="16"/>
                <w:color w:val="auto"/>
              </w:rPr>
              <w:t>17,612,402</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359,087</w:t>
            </w:r>
          </w:p>
        </w:tc>
        <w:tc>
          <w:tcPr>
            <w:tcW w:w="1300" w:type="dxa"/>
            <w:vAlign w:val="bottom"/>
          </w:tcPr>
          <w:p>
            <w:pPr>
              <w:spacing w:after="0"/>
              <w:rPr>
                <w:sz w:val="21"/>
                <w:szCs w:val="21"/>
                <w:color w:val="auto"/>
              </w:rPr>
            </w:pPr>
          </w:p>
        </w:tc>
        <w:tc>
          <w:tcPr>
            <w:tcW w:w="1360" w:type="dxa"/>
            <w:vAlign w:val="bottom"/>
          </w:tcPr>
          <w:p>
            <w:pPr>
              <w:jc w:val="right"/>
              <w:ind w:right="399"/>
              <w:spacing w:after="0"/>
              <w:rPr>
                <w:sz w:val="20"/>
                <w:szCs w:val="20"/>
                <w:color w:val="auto"/>
              </w:rPr>
            </w:pPr>
            <w:r>
              <w:rPr>
                <w:rFonts w:ascii="Arial" w:cs="Arial" w:eastAsia="Arial" w:hAnsi="Arial"/>
                <w:sz w:val="16"/>
                <w:szCs w:val="16"/>
                <w:color w:val="auto"/>
              </w:rPr>
              <w:t>3,130</w:t>
            </w:r>
          </w:p>
        </w:tc>
        <w:tc>
          <w:tcPr>
            <w:tcW w:w="620" w:type="dxa"/>
            <w:vAlign w:val="bottom"/>
          </w:tcPr>
          <w:p>
            <w:pPr>
              <w:spacing w:after="0"/>
              <w:rPr>
                <w:sz w:val="21"/>
                <w:szCs w:val="21"/>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6"/>
                <w:szCs w:val="16"/>
                <w:color w:val="auto"/>
              </w:rPr>
              <w:t>3,388,687</w:t>
            </w:r>
          </w:p>
        </w:tc>
      </w:tr>
    </w:tbl>
    <w:p>
      <w:pPr>
        <w:spacing w:after="0" w:line="312" w:lineRule="exact"/>
        <w:rPr>
          <w:sz w:val="20"/>
          <w:szCs w:val="20"/>
          <w:color w:val="auto"/>
        </w:rPr>
      </w:pPr>
    </w:p>
    <w:p>
      <w:pPr>
        <w:ind w:right="660"/>
        <w:spacing w:after="0" w:line="236" w:lineRule="auto"/>
        <w:rPr>
          <w:sz w:val="20"/>
          <w:szCs w:val="20"/>
          <w:color w:val="auto"/>
        </w:rPr>
      </w:pPr>
      <w:r>
        <w:rPr>
          <w:rFonts w:ascii="Arial" w:cs="Arial" w:eastAsia="Arial" w:hAnsi="Arial"/>
          <w:sz w:val="16"/>
          <w:szCs w:val="16"/>
          <w:color w:val="auto"/>
        </w:rPr>
        <w:t>Based on the foregoing voting results, Alexander Timm, David Fisher, and Vijay Kotte were elected as Class I directors and Proposals 2 and 3 were approved.</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02"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0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June 14, 2024</w:t>
      </w:r>
      <w:r>
        <w:rPr>
          <w:sz w:val="20"/>
          <w:szCs w:val="20"/>
          <w:color w:val="auto"/>
        </w:rPr>
        <w:tab/>
      </w:r>
      <w:r>
        <w:rPr>
          <w:rFonts w:ascii="Arial" w:cs="Arial" w:eastAsia="Arial" w:hAnsi="Arial"/>
          <w:sz w:val="16"/>
          <w:szCs w:val="16"/>
          <w:color w:val="auto"/>
        </w:rPr>
        <w:t>By: /s/ Bradley M. Burd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29210</wp:posOffset>
            </wp:positionV>
            <wp:extent cx="3326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9"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Brad Burd</w:t>
      </w:r>
    </w:p>
    <w:p>
      <w:pPr>
        <w:spacing w:after="0" w:line="8"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Legal Officer</w:t>
      </w:r>
    </w:p>
    <w:sectPr>
      <w:pgSz w:w="11900" w:h="16838" w:orient="portrait"/>
      <w:cols w:equalWidth="0" w:num="1">
        <w:col w:w="11220"/>
      </w:cols>
      <w:pgMar w:left="320" w:top="100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2024-06-14T16:08:26Z</dcterms:created>
  <dcterms:modified xsi:type="dcterms:W3CDTF">2024-06-14T16:08:26Z</dcterms:modified>
</cp:coreProperties>
</file>