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607695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628015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CURRENT REPORT</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Date of Report (Date of earliest event reported): August 30, 2024</w:t>
      </w:r>
    </w:p>
    <w:p>
      <w:pPr>
        <w:spacing w:after="0" w:line="98"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GoHealth, Inc.</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40"/>
          </w:cols>
          <w:pgMar w:left="300" w:top="1135" w:right="359" w:bottom="1440" w:gutter="0" w:footer="0" w:header="0"/>
        </w:sectPr>
      </w:pPr>
    </w:p>
    <w:p>
      <w:pPr>
        <w:spacing w:after="0" w:line="133"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001-39390</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85-0563805</w:t>
      </w:r>
    </w:p>
    <w:p>
      <w:pPr>
        <w:spacing w:after="0" w:line="53" w:lineRule="exact"/>
        <w:rPr>
          <w:sz w:val="24"/>
          <w:szCs w:val="24"/>
          <w:color w:val="auto"/>
        </w:rPr>
      </w:pPr>
    </w:p>
    <w:p>
      <w:pPr>
        <w:sectPr>
          <w:pgSz w:w="11900" w:h="16838" w:orient="portrait"/>
          <w:cols w:equalWidth="0" w:num="3">
            <w:col w:w="4620" w:space="720"/>
            <w:col w:w="3000" w:space="720"/>
            <w:col w:w="2180"/>
          </w:cols>
          <w:pgMar w:left="300" w:top="1135" w:right="35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180" w:space="720"/>
            <w:col w:w="2800" w:space="720"/>
            <w:col w:w="2820"/>
          </w:cols>
          <w:pgMar w:left="300" w:top="1135" w:right="359" w:bottom="1440" w:gutter="0" w:footer="0" w:header="0"/>
          <w:type w:val="continuous"/>
        </w:sectPr>
      </w:pPr>
    </w:p>
    <w:p>
      <w:pPr>
        <w:spacing w:after="0" w:line="44" w:lineRule="exact"/>
        <w:rPr>
          <w:sz w:val="24"/>
          <w:szCs w:val="24"/>
          <w:color w:val="auto"/>
        </w:rPr>
      </w:pPr>
    </w:p>
    <w:p>
      <w:pPr>
        <w:ind w:left="780"/>
        <w:spacing w:after="0"/>
        <w:rPr>
          <w:sz w:val="20"/>
          <w:szCs w:val="20"/>
          <w:color w:val="auto"/>
        </w:rPr>
      </w:pPr>
      <w:r>
        <w:rPr>
          <w:rFonts w:ascii="Arial" w:cs="Arial" w:eastAsia="Arial" w:hAnsi="Arial"/>
          <w:sz w:val="12"/>
          <w:szCs w:val="12"/>
          <w:b w:val="1"/>
          <w:bCs w:val="1"/>
          <w:color w:val="auto"/>
        </w:rPr>
        <w:t>222 W Merchandise Mart Plaza Suite 1750</w:t>
      </w:r>
    </w:p>
    <w:p>
      <w:pPr>
        <w:sectPr>
          <w:pgSz w:w="11900" w:h="16838" w:orient="portrait"/>
          <w:cols w:equalWidth="0" w:num="1">
            <w:col w:w="11240"/>
          </w:cols>
          <w:pgMar w:left="300" w:top="1135" w:right="359" w:bottom="1440" w:gutter="0" w:footer="0" w:header="0"/>
          <w:type w:val="continuous"/>
        </w:sectPr>
      </w:pPr>
    </w:p>
    <w:p>
      <w:pPr>
        <w:spacing w:after="0" w:line="64"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Chicago, Illinois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60654</w:t>
      </w:r>
    </w:p>
    <w:p>
      <w:pPr>
        <w:spacing w:after="0" w:line="53" w:lineRule="exact"/>
        <w:rPr>
          <w:sz w:val="24"/>
          <w:szCs w:val="24"/>
          <w:color w:val="auto"/>
        </w:rPr>
      </w:pPr>
    </w:p>
    <w:p>
      <w:pPr>
        <w:sectPr>
          <w:pgSz w:w="11900" w:h="16838" w:orient="portrait"/>
          <w:cols w:equalWidth="0" w:num="2">
            <w:col w:w="8520" w:space="720"/>
            <w:col w:w="2000"/>
          </w:cols>
          <w:pgMar w:left="300" w:top="1135" w:right="35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69" w:lineRule="exact"/>
        <w:rPr>
          <w:sz w:val="24"/>
          <w:szCs w:val="24"/>
          <w:color w:val="auto"/>
        </w:rPr>
      </w:pPr>
    </w:p>
    <w:p>
      <w:pPr>
        <w:sectPr>
          <w:pgSz w:w="11900" w:h="16838" w:orient="portrait"/>
          <w:cols w:equalWidth="0" w:num="2">
            <w:col w:w="8380" w:space="720"/>
            <w:col w:w="2140"/>
          </w:cols>
          <w:pgMar w:left="300" w:top="1135"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(312) 386-8200</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00" w:top="1135" w:right="359" w:bottom="1440" w:gutter="0" w:footer="0" w:header="0"/>
          <w:type w:val="continuous"/>
        </w:sectPr>
      </w:pPr>
    </w:p>
    <w:p>
      <w:pPr>
        <w:spacing w:after="0" w:line="106"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32"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53"/>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72" w:lineRule="exact"/>
        <w:rPr>
          <w:sz w:val="24"/>
          <w:szCs w:val="24"/>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1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3"/>
          <w:szCs w:val="13"/>
          <w:color w:val="auto"/>
        </w:rPr>
        <w:t>On August 30, 2024, ETQ Holdings, LLC (“Subscriber”), a wholly-owned subsidiary of GoHealth, Inc. (the “Company”), entered into a Purchase &amp; Subscription Agreement (the “Subscription Agreement”), by and between Subscriber and e-TeleQuote Insurance, Inc. (“ETQ”), pursuant to which Subscriber will subscribe for and acquire newly issued shares of ETQ’s common stock representing approximately 18.9% of ETQ’s outstanding common stock post-acquisition. Subscriber’s acquisition of the Shares is subject to customary terms and conditions set forth in the Subscription Agreement and is scheduled to close on or before September 30, 2024 (the “Closing”).</w:t>
      </w: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Immediately following the effective time of the Closing, ETQ’s current parent company will irrevocably permanently surrender and relinquish all rights in ETQ without receipt of consideration. As a result, ETQ will become a wholly-owned subsidiary of Subscriber.</w:t>
      </w:r>
    </w:p>
    <w:p>
      <w:pPr>
        <w:spacing w:after="0" w:line="167"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On September 4, 2024, the Company issued a press release announcing the execution of the Subscription Agreement, a copy of which is furnished as Exhibit 99.1 hereto and incorporated into this Item 7.01 by reference.</w:t>
      </w:r>
    </w:p>
    <w:p>
      <w:pPr>
        <w:spacing w:after="0" w:line="167"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color w:val="auto"/>
        </w:rPr>
        <w:t>The information furnished under Item 7.01 of this Current Report on Form 8-K, including the press release furnished herewith as Exhibit 99.1, shall be deemed “furnished” and not “filed” for purposes of Section 18 of the Securities Exchange Act of 1934, as amended (the “Exchange Act”), or otherwise subject to the liabilities of that Section, and shall not be incorporated by reference in any filing under the Securities Act or the Exchange Act, except as shall be expressly set forth by specific reference in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included herewith: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980" w:type="dxa"/>
            <w:vAlign w:val="bottom"/>
            <w:gridSpan w:val="2"/>
          </w:tcPr>
          <w:p>
            <w:pPr>
              <w:ind w:left="32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5"/>
                <w:szCs w:val="15"/>
                <w:color w:val="auto"/>
              </w:rPr>
            </w:pPr>
          </w:p>
        </w:tc>
        <w:tc>
          <w:tcPr>
            <w:tcW w:w="92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32"/>
        </w:trPr>
        <w:tc>
          <w:tcPr>
            <w:tcW w:w="1600" w:type="dxa"/>
            <w:vAlign w:val="bottom"/>
            <w:tcBorders>
              <w:top w:val="single" w:sz="8" w:color="auto"/>
            </w:tcBorders>
          </w:tcPr>
          <w:p>
            <w:pPr>
              <w:jc w:val="right"/>
              <w:ind w:right="636"/>
              <w:spacing w:after="0" w:line="133" w:lineRule="exact"/>
              <w:rPr>
                <w:sz w:val="20"/>
                <w:szCs w:val="20"/>
                <w:color w:val="auto"/>
              </w:rPr>
            </w:pPr>
            <w:r>
              <w:rPr>
                <w:rFonts w:ascii="Arial" w:cs="Arial" w:eastAsia="Arial" w:hAnsi="Arial"/>
                <w:sz w:val="13"/>
                <w:szCs w:val="13"/>
                <w:color w:val="auto"/>
              </w:rPr>
              <w:t>99.1</w:t>
            </w:r>
          </w:p>
        </w:tc>
        <w:tc>
          <w:tcPr>
            <w:tcW w:w="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3"/>
                <w:szCs w:val="13"/>
                <w:color w:val="3051F2"/>
              </w:rPr>
              <w:t>Press Release of GoHealth, Inc., dated September 4, 2024</w:t>
            </w:r>
          </w:p>
        </w:tc>
      </w:tr>
      <w:tr>
        <w:trPr>
          <w:trHeight w:val="20"/>
        </w:trPr>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shd w:val="clear" w:color="auto" w:fill="3051F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190"/>
        </w:trPr>
        <w:tc>
          <w:tcPr>
            <w:tcW w:w="1600" w:type="dxa"/>
            <w:vAlign w:val="bottom"/>
          </w:tcPr>
          <w:p>
            <w:pPr>
              <w:jc w:val="right"/>
              <w:ind w:right="656"/>
              <w:spacing w:after="0"/>
              <w:rPr>
                <w:sz w:val="20"/>
                <w:szCs w:val="20"/>
                <w:color w:val="auto"/>
              </w:rPr>
            </w:pPr>
            <w:r>
              <w:rPr>
                <w:rFonts w:ascii="Arial" w:cs="Arial" w:eastAsia="Arial" w:hAnsi="Arial"/>
                <w:sz w:val="13"/>
                <w:szCs w:val="13"/>
                <w:color w:val="auto"/>
              </w:rPr>
              <w:t>104</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
          </w:tcPr>
          <w:p>
            <w:pPr>
              <w:spacing w:after="0"/>
              <w:rPr>
                <w:sz w:val="20"/>
                <w:szCs w:val="20"/>
                <w:color w:val="auto"/>
              </w:rPr>
            </w:pPr>
            <w:r>
              <w:rPr>
                <w:rFonts w:ascii="Arial" w:cs="Arial" w:eastAsia="Arial" w:hAnsi="Arial"/>
                <w:sz w:val="13"/>
                <w:szCs w:val="13"/>
                <w:color w:val="auto"/>
              </w:rPr>
              <w:t>Cover Page Interactive Data File (formatted as inline XBRL)</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90"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This Current Report on Form 8-K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Current Report on Form 8-K may be forward-looking statements.</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Current Report on Form 8-K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52"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These forward-looking statements speak only as of the date of this Current Report on Form 8-K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and in our other filings with the Securities and Exchange Commission. The factors described in our 2023 Annual Report on Form 10-K should not be construed as exhaustive and should be read together with the other cautionary statements included in this Current Report on Form 8-K, as well as the cautionary statements and other risk factors set forth in the Quarterly Reports on Form 10-Q for the first fiscal quarter ended March 31, 2024 and the second fiscal quarter ended June 30, 2024, and in our other filings with the Securities and Exchange Commission.</w:t>
      </w:r>
    </w:p>
    <w:p>
      <w:pPr>
        <w:spacing w:after="0" w:line="165"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You should read this Current Report on Form 8-K and the documents that we reference in this Current Report on Form 8-K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GOHEALTH, INC.</w:t>
      </w:r>
    </w:p>
    <w:p>
      <w:pPr>
        <w:spacing w:after="0" w:line="158"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September 4, 2024</w:t>
      </w:r>
      <w:r>
        <w:rPr>
          <w:sz w:val="20"/>
          <w:szCs w:val="20"/>
          <w:color w:val="auto"/>
        </w:rPr>
        <w:tab/>
      </w:r>
      <w:r>
        <w:rPr>
          <w:rFonts w:ascii="Arial" w:cs="Arial" w:eastAsia="Arial" w:hAnsi="Arial"/>
          <w:sz w:val="12"/>
          <w:szCs w:val="12"/>
          <w:color w:val="auto"/>
        </w:rPr>
        <w:t>By: /s/ Brad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Brad Burd</w:t>
      </w:r>
    </w:p>
    <w:p>
      <w:pPr>
        <w:ind w:left="6040"/>
        <w:spacing w:after="0"/>
        <w:rPr>
          <w:sz w:val="20"/>
          <w:szCs w:val="20"/>
          <w:color w:val="auto"/>
        </w:rPr>
      </w:pPr>
      <w:r>
        <w:rPr>
          <w:rFonts w:ascii="Arial" w:cs="Arial" w:eastAsia="Arial" w:hAnsi="Arial"/>
          <w:sz w:val="13"/>
          <w:szCs w:val="13"/>
          <w:color w:val="auto"/>
        </w:rPr>
        <w:t>Chief Legal Officer</w:t>
      </w:r>
    </w:p>
    <w:p>
      <w:pPr>
        <w:sectPr>
          <w:pgSz w:w="11900" w:h="16838" w:orient="portrait"/>
          <w:cols w:equalWidth="0" w:num="1">
            <w:col w:w="10280"/>
          </w:cols>
          <w:pgMar w:left="300" w:top="819" w:right="1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2024-09-04T06:14:15Z</dcterms:created>
  <dcterms:modified xsi:type="dcterms:W3CDTF">2024-09-04T06:14:15Z</dcterms:modified>
</cp:coreProperties>
</file>