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CCP III Cayman GP Ltd.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48"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jc w:val="center"/>
              <w:ind w:right="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6"/>
                <w:szCs w:val="6"/>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gridSpan w:val="2"/>
            <w:vMerge w:val="restart"/>
          </w:tcPr>
          <w:p>
            <w:pPr>
              <w:jc w:val="center"/>
              <w:ind w:right="28"/>
              <w:spacing w:after="0"/>
              <w:rPr>
                <w:sz w:val="20"/>
                <w:szCs w:val="20"/>
                <w:color w:val="auto"/>
              </w:rPr>
            </w:pPr>
            <w:r>
              <w:rPr>
                <w:rFonts w:ascii="Arial" w:cs="Arial" w:eastAsia="Arial" w:hAnsi="Arial"/>
                <w:sz w:val="17"/>
                <w:szCs w:val="17"/>
                <w:color w:val="0000FF"/>
                <w:w w:val="91"/>
              </w:rPr>
              <w:t>12/12/2022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490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13.9116</w:t>
            </w:r>
            <w:r>
              <w:rPr>
                <w:rFonts w:ascii="Arial" w:cs="Arial" w:eastAsia="Arial" w:hAnsi="Arial"/>
                <w:sz w:val="22"/>
                <w:szCs w:val="22"/>
                <w:color w:val="008000"/>
                <w:w w:val="87"/>
                <w:vertAlign w:val="superscript"/>
              </w:rPr>
              <w:t>(1)</w:t>
            </w:r>
          </w:p>
        </w:tc>
        <w:tc>
          <w:tcPr>
            <w:tcW w:w="1520" w:type="dxa"/>
            <w:vAlign w:val="bottom"/>
            <w:gridSpan w:val="3"/>
            <w:vMerge w:val="restart"/>
          </w:tcPr>
          <w:p>
            <w:pPr>
              <w:ind w:left="220"/>
              <w:spacing w:after="0"/>
              <w:rPr>
                <w:sz w:val="20"/>
                <w:szCs w:val="20"/>
                <w:color w:val="auto"/>
              </w:rPr>
            </w:pPr>
            <w:r>
              <w:rPr>
                <w:rFonts w:ascii="Arial" w:cs="Arial" w:eastAsia="Arial" w:hAnsi="Arial"/>
                <w:sz w:val="17"/>
                <w:szCs w:val="17"/>
                <w:color w:val="0000FF"/>
              </w:rPr>
              <w:t>4,074,209</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Arial" w:cs="Arial" w:eastAsia="Arial" w:hAnsi="Arial"/>
                <w:sz w:val="17"/>
                <w:szCs w:val="17"/>
                <w:color w:val="0000FF"/>
                <w:w w:val="91"/>
              </w:rPr>
              <w:t>12/12/2022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6,630</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14.3626</w:t>
            </w:r>
            <w:r>
              <w:rPr>
                <w:rFonts w:ascii="Arial" w:cs="Arial" w:eastAsia="Arial" w:hAnsi="Arial"/>
                <w:sz w:val="22"/>
                <w:szCs w:val="22"/>
                <w:color w:val="008000"/>
                <w:w w:val="90"/>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4,080,839</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Arial" w:cs="Arial" w:eastAsia="Arial" w:hAnsi="Arial"/>
                <w:sz w:val="17"/>
                <w:szCs w:val="17"/>
                <w:color w:val="0000FF"/>
                <w:w w:val="91"/>
              </w:rPr>
              <w:t>12/12/2022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38,689</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15.6571</w:t>
            </w:r>
            <w:r>
              <w:rPr>
                <w:rFonts w:ascii="Arial" w:cs="Arial" w:eastAsia="Arial" w:hAnsi="Arial"/>
                <w:sz w:val="22"/>
                <w:szCs w:val="22"/>
                <w:color w:val="008000"/>
                <w:w w:val="90"/>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4,119,528</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Arial" w:cs="Arial" w:eastAsia="Arial" w:hAnsi="Arial"/>
                <w:sz w:val="17"/>
                <w:szCs w:val="17"/>
                <w:color w:val="0000FF"/>
                <w:w w:val="91"/>
              </w:rPr>
              <w:t>12/12/2022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11,448</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4,130,976</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Arial" w:cs="Arial" w:eastAsia="Arial" w:hAnsi="Arial"/>
                <w:sz w:val="17"/>
                <w:szCs w:val="17"/>
                <w:color w:val="0000FF"/>
                <w:w w:val="91"/>
              </w:rPr>
              <w:t>12/13/2022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21,830</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16.8046</w:t>
            </w:r>
            <w:r>
              <w:rPr>
                <w:rFonts w:ascii="Arial" w:cs="Arial" w:eastAsia="Arial" w:hAnsi="Arial"/>
                <w:sz w:val="22"/>
                <w:szCs w:val="22"/>
                <w:color w:val="008000"/>
                <w:w w:val="90"/>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4,152,806</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8"/>
              <w:spacing w:after="0"/>
              <w:rPr>
                <w:sz w:val="20"/>
                <w:szCs w:val="20"/>
                <w:color w:val="auto"/>
              </w:rPr>
            </w:pPr>
            <w:r>
              <w:rPr>
                <w:rFonts w:ascii="Arial" w:cs="Arial" w:eastAsia="Arial" w:hAnsi="Arial"/>
                <w:sz w:val="17"/>
                <w:szCs w:val="17"/>
                <w:color w:val="0000FF"/>
                <w:w w:val="91"/>
              </w:rPr>
              <w:t>12/13/2022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27,044</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4,179,850</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7"/>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gridSpan w:val="14"/>
          </w:tcPr>
          <w:p>
            <w:pPr>
              <w:jc w:val="center"/>
              <w:ind w:righ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center"/>
              <w:ind w:right="28"/>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CCP III Cayman GP Ltd.</w:t>
              </w:r>
            </w:hyperlink>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jc w:val="center"/>
              <w:ind w:right="88"/>
              <w:spacing w:after="0"/>
              <w:rPr>
                <w:sz w:val="20"/>
                <w:szCs w:val="20"/>
                <w:color w:val="auto"/>
              </w:rPr>
            </w:pPr>
            <w:r>
              <w:rPr>
                <w:rFonts w:ascii="Arial" w:cs="Arial" w:eastAsia="Arial" w:hAnsi="Arial"/>
                <w:sz w:val="17"/>
                <w:szCs w:val="17"/>
                <w:color w:val="0000FF"/>
                <w:w w:val="92"/>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Centerbridge Associates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-4098925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48"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375 PARK AVENUE, 11TH FLOOR</w:t>
      </w:r>
    </w:p>
    <w:p>
      <w:pPr>
        <w:sectPr>
          <w:pgSz w:w="11900" w:h="16838" w:orient="portrait"/>
          <w:cols w:equalWidth="0" w:num="1">
            <w:col w:w="11080"/>
          </w:cols>
          <w:pgMar w:left="460" w:top="225" w:right="359" w:bottom="4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w w:val="99"/>
              </w:rPr>
            </w:pPr>
            <w:hyperlink r:id="rId16">
              <w:r>
                <w:rPr>
                  <w:rFonts w:ascii="Arial" w:cs="Arial" w:eastAsia="Arial" w:hAnsi="Arial"/>
                  <w:sz w:val="21"/>
                  <w:szCs w:val="21"/>
                  <w:color w:val="0000EE"/>
                  <w:w w:val="99"/>
                </w:rPr>
                <w:t>CCP III AIV VII Holdings,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rPr>
              <w:t>375 PARK AVENUE, 11TH FLOOR</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CB Blizzard Co-Invest Holdings,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2"/>
          </w:tcPr>
          <w:p>
            <w:pPr>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2"/>
          </w:tcPr>
          <w:p>
            <w:pPr>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3"/>
              </w:rPr>
            </w:pPr>
            <w:hyperlink r:id="rId20">
              <w:r>
                <w:rPr>
                  <w:rFonts w:ascii="Arial" w:cs="Arial" w:eastAsia="Arial" w:hAnsi="Arial"/>
                  <w:sz w:val="21"/>
                  <w:szCs w:val="21"/>
                  <w:color w:val="0000EE"/>
                  <w:w w:val="93"/>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2"/>
          </w:tcPr>
          <w:p>
            <w:pPr>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CB Blizzard Lower Holdings GP A,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CB Blizzard Lower Holdings A,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bl>
    <w:p>
      <w:pPr>
        <w:spacing w:after="0" w:line="200" w:lineRule="exact"/>
        <w:rPr>
          <w:sz w:val="20"/>
          <w:szCs w:val="20"/>
          <w:color w:val="auto"/>
        </w:rPr>
      </w:pPr>
    </w:p>
    <w:p>
      <w:pPr>
        <w:sectPr>
          <w:pgSz w:w="11900" w:h="16838" w:orient="portrait"/>
          <w:cols w:equalWidth="0" w:num="1">
            <w:col w:w="9979"/>
          </w:cols>
          <w:pgMar w:left="480" w:top="140" w:right="1440" w:bottom="0" w:gutter="0" w:footer="0" w:header="0"/>
        </w:sectPr>
      </w:pPr>
    </w:p>
    <w:p>
      <w:pPr>
        <w:spacing w:after="0" w:line="12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312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3127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CB Blizzard Lower Holdings GP B, LLC</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CB Blizzard Lower Holdings B, L.P.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$13.71 to $13.99.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2,712,197 shares of Class A Common Stock held of record by CB Blizzard Lower Holdings A, L.P. ("CB Blizzard A") and (ii) 1,467,653 shares of Class A Common Stock held of record by CB Blizzard Holdings C, L.P. ("CB Blizzard C").</w:t>
      </w:r>
    </w:p>
    <w:p>
      <w:pPr>
        <w:spacing w:after="0" w:line="15" w:lineRule="exact"/>
        <w:rPr>
          <w:rFonts w:ascii="Arial" w:cs="Arial" w:eastAsia="Arial" w:hAnsi="Arial"/>
          <w:sz w:val="13"/>
          <w:szCs w:val="13"/>
          <w:color w:val="008000"/>
        </w:rPr>
      </w:pPr>
    </w:p>
    <w:p>
      <w:pPr>
        <w:ind w:firstLine="7"/>
        <w:spacing w:after="0" w:line="268"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15" w:lineRule="exact"/>
        <w:rPr>
          <w:rFonts w:ascii="Arial" w:cs="Arial" w:eastAsia="Arial" w:hAnsi="Arial"/>
          <w:sz w:val="12"/>
          <w:szCs w:val="12"/>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9" w:lineRule="exact"/>
        <w:rPr>
          <w:rFonts w:ascii="Arial" w:cs="Arial" w:eastAsia="Arial" w:hAnsi="Arial"/>
          <w:sz w:val="13"/>
          <w:szCs w:val="13"/>
          <w:color w:val="008000"/>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$14.00 to $14.99.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$15.00 to $15.99.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$16.37 to $16.99.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the limitations of the electronic filing system, CB Blizzard Holdings C, L.P. is filing on a separate Form 4.</w:t>
      </w:r>
    </w:p>
    <w:p>
      <w:pPr>
        <w:sectPr>
          <w:pgSz w:w="11900" w:h="16838" w:orient="portrait"/>
          <w:cols w:equalWidth="0" w:num="1">
            <w:col w:w="10900"/>
          </w:cols>
          <w:pgMar w:left="500" w:top="163" w:right="499" w:bottom="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4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25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946" w:lineRule="exact"/>
        <w:rPr>
          <w:sz w:val="20"/>
          <w:szCs w:val="20"/>
          <w:color w:val="auto"/>
        </w:rPr>
      </w:pPr>
    </w:p>
    <w:p>
      <w:pPr>
        <w:sectPr>
          <w:pgSz w:w="11900" w:h="16838" w:orient="portrait"/>
          <w:cols w:equalWidth="0" w:num="2">
            <w:col w:w="8640" w:space="100"/>
            <w:col w:w="2160"/>
          </w:cols>
          <w:pgMar w:left="500" w:top="163" w:right="499" w:bottom="0" w:gutter="0" w:footer="0" w:header="0"/>
          <w:type w:val="continuous"/>
        </w:sectPr>
      </w:pPr>
    </w:p>
    <w:p>
      <w:pPr>
        <w:ind w:left="6540"/>
        <w:spacing w:after="0"/>
        <w:rPr>
          <w:sz w:val="20"/>
          <w:szCs w:val="20"/>
          <w:color w:val="auto"/>
        </w:rPr>
      </w:pPr>
      <w:r>
        <w:rPr>
          <w:rFonts w:ascii="Arial" w:cs="Arial" w:eastAsia="Arial" w:hAnsi="Arial"/>
          <w:sz w:val="16"/>
          <w:szCs w:val="16"/>
          <w:color w:val="0000FF"/>
        </w:rPr>
        <w:t>BLIZZARD AGGREGATOR, 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897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ectPr>
          <w:pgSz w:w="11900" w:h="16838" w:orient="portrait"/>
          <w:cols w:equalWidth="0" w:num="1">
            <w:col w:w="10900"/>
          </w:cols>
          <w:pgMar w:left="500" w:top="163" w:right="49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42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6" Type="http://schemas.openxmlformats.org/officeDocument/2006/relationships/hyperlink" Target="http://www.sec.gov/cgi-bin/browse-edgar?action=getcompany&amp;CIK=0001818077" TargetMode="External"/><Relationship Id="rId18"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18020" TargetMode="External"/><Relationship Id="rId20" Type="http://schemas.openxmlformats.org/officeDocument/2006/relationships/hyperlink" Target="http://www.sec.gov/cgi-bin/browse-edgar?action=getcompany&amp;CIK=0001425800" TargetMode="External"/><Relationship Id="rId21" Type="http://schemas.openxmlformats.org/officeDocument/2006/relationships/hyperlink" Target="http://www.sec.gov/cgi-bin/browse-edgar?action=getcompany&amp;CIK=0001852144" TargetMode="External"/><Relationship Id="rId22" Type="http://schemas.openxmlformats.org/officeDocument/2006/relationships/hyperlink" Target="http://www.sec.gov/cgi-bin/browse-edgar?action=getcompany&amp;CIK=0001852252" TargetMode="External"/><Relationship Id="rId24" Type="http://schemas.openxmlformats.org/officeDocument/2006/relationships/hyperlink" Target="http://www.sec.gov/cgi-bin/browse-edgar?action=getcompany&amp;CIK=0001852159" TargetMode="External"/><Relationship Id="rId25"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2022-12-14T15:40:34Z</dcterms:created>
  <dcterms:modified xsi:type="dcterms:W3CDTF">2022-12-14T15:40:34Z</dcterms:modified>
</cp:coreProperties>
</file>