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680720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FORM 8-K</w:t>
      </w:r>
    </w:p>
    <w:p>
      <w:pPr>
        <w:spacing w:after="0" w:line="29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49"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Report (Date of earliest event reported): May 12, 2021</w:t>
      </w:r>
    </w:p>
    <w:p>
      <w:pPr>
        <w:spacing w:after="0" w:line="4"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GoHealth, Inc.</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0"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ectPr>
          <w:pgSz w:w="11900" w:h="16838" w:orient="portrait"/>
          <w:cols w:equalWidth="0" w:num="1">
            <w:col w:w="11240"/>
          </w:cols>
          <w:pgMar w:left="320" w:top="1426" w:right="339" w:bottom="1440" w:gutter="0" w:footer="0" w:header="0"/>
        </w:sectPr>
      </w:pPr>
    </w:p>
    <w:p>
      <w:pPr>
        <w:spacing w:after="0" w:line="140" w:lineRule="exact"/>
        <w:rPr>
          <w:sz w:val="24"/>
          <w:szCs w:val="24"/>
          <w:color w:val="auto"/>
        </w:rPr>
      </w:pPr>
    </w:p>
    <w:p>
      <w:pPr>
        <w:ind w:left="1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001-39390</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85-0563805</w:t>
      </w:r>
    </w:p>
    <w:p>
      <w:pPr>
        <w:spacing w:after="0" w:line="79" w:lineRule="exact"/>
        <w:rPr>
          <w:sz w:val="24"/>
          <w:szCs w:val="24"/>
          <w:color w:val="auto"/>
        </w:rPr>
      </w:pPr>
    </w:p>
    <w:p>
      <w:pPr>
        <w:sectPr>
          <w:pgSz w:w="11900" w:h="16838" w:orient="portrait"/>
          <w:cols w:equalWidth="0" w:num="3">
            <w:col w:w="4500" w:space="720"/>
            <w:col w:w="3000" w:space="720"/>
            <w:col w:w="2300"/>
          </w:cols>
          <w:pgMar w:left="320" w:top="1426" w:right="3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60" w:space="720"/>
            <w:col w:w="3120"/>
          </w:cols>
          <w:pgMar w:left="320" w:top="1426" w:right="339" w:bottom="1440" w:gutter="0" w:footer="0" w:header="0"/>
          <w:type w:val="continuous"/>
        </w:sectPr>
      </w:pPr>
    </w:p>
    <w:p>
      <w:pPr>
        <w:spacing w:after="0" w:line="69" w:lineRule="exact"/>
        <w:rPr>
          <w:sz w:val="24"/>
          <w:szCs w:val="24"/>
          <w:color w:val="auto"/>
        </w:rPr>
      </w:pPr>
    </w:p>
    <w:p>
      <w:pPr>
        <w:ind w:left="2040"/>
        <w:spacing w:after="0"/>
        <w:rPr>
          <w:sz w:val="20"/>
          <w:szCs w:val="20"/>
          <w:color w:val="auto"/>
        </w:rPr>
      </w:pPr>
      <w:r>
        <w:rPr>
          <w:rFonts w:ascii="Arial" w:cs="Arial" w:eastAsia="Arial" w:hAnsi="Arial"/>
          <w:sz w:val="16"/>
          <w:szCs w:val="16"/>
          <w:b w:val="1"/>
          <w:bCs w:val="1"/>
          <w:color w:val="auto"/>
        </w:rPr>
        <w:t>214 West Huron St.</w:t>
      </w:r>
    </w:p>
    <w:p>
      <w:pPr>
        <w:sectPr>
          <w:pgSz w:w="11900" w:h="16838" w:orient="portrait"/>
          <w:cols w:equalWidth="0" w:num="1">
            <w:col w:w="11240"/>
          </w:cols>
          <w:pgMar w:left="320" w:top="1426" w:right="339" w:bottom="1440" w:gutter="0" w:footer="0" w:header="0"/>
          <w:type w:val="continuous"/>
        </w:sectPr>
      </w:pPr>
    </w:p>
    <w:p>
      <w:pPr>
        <w:spacing w:after="0" w:line="73" w:lineRule="exact"/>
        <w:rPr>
          <w:sz w:val="24"/>
          <w:szCs w:val="24"/>
          <w:color w:val="auto"/>
        </w:rPr>
      </w:pPr>
    </w:p>
    <w:p>
      <w:pPr>
        <w:ind w:left="2100"/>
        <w:spacing w:after="0"/>
        <w:rPr>
          <w:sz w:val="20"/>
          <w:szCs w:val="20"/>
          <w:color w:val="auto"/>
        </w:rPr>
      </w:pPr>
      <w:r>
        <w:rPr>
          <w:rFonts w:ascii="Arial" w:cs="Arial" w:eastAsia="Arial" w:hAnsi="Arial"/>
          <w:sz w:val="16"/>
          <w:szCs w:val="16"/>
          <w:b w:val="1"/>
          <w:bCs w:val="1"/>
          <w:color w:val="auto"/>
        </w:rPr>
        <w:t>Chicago, Illinois</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60654</w:t>
      </w:r>
    </w:p>
    <w:p>
      <w:pPr>
        <w:spacing w:after="0" w:line="79" w:lineRule="exact"/>
        <w:rPr>
          <w:sz w:val="24"/>
          <w:szCs w:val="24"/>
          <w:color w:val="auto"/>
        </w:rPr>
      </w:pPr>
    </w:p>
    <w:p>
      <w:pPr>
        <w:sectPr>
          <w:pgSz w:w="11900" w:h="16838" w:orient="portrait"/>
          <w:cols w:equalWidth="0" w:num="2">
            <w:col w:w="7440" w:space="720"/>
            <w:col w:w="3080"/>
          </w:cols>
          <w:pgMar w:left="320" w:top="1426" w:right="33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280" w:space="720"/>
            <w:col w:w="3240"/>
          </w:cols>
          <w:pgMar w:left="320" w:top="1426" w:right="339" w:bottom="1440" w:gutter="0" w:footer="0" w:header="0"/>
          <w:type w:val="continuous"/>
        </w:sectPr>
      </w:pP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(312) 386-8200</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9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N/A</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0"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06" w:lineRule="exact"/>
        <w:rPr>
          <w:sz w:val="24"/>
          <w:szCs w:val="24"/>
          <w:color w:val="auto"/>
        </w:rPr>
      </w:pPr>
    </w:p>
    <w:p>
      <w:pPr>
        <w:ind w:right="30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28" w:lineRule="exact"/>
        <w:rPr>
          <w:sz w:val="24"/>
          <w:szCs w:val="24"/>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5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spacing w:after="0"/>
              <w:rPr>
                <w:sz w:val="16"/>
                <w:szCs w:val="16"/>
                <w:color w:val="auto"/>
              </w:rPr>
            </w:pPr>
          </w:p>
        </w:tc>
      </w:tr>
      <w:tr>
        <w:trPr>
          <w:trHeight w:val="325"/>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28"/>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jc w:val="center"/>
              <w:ind w:right="659"/>
              <w:spacing w:after="0"/>
              <w:rPr>
                <w:sz w:val="20"/>
                <w:szCs w:val="20"/>
                <w:color w:val="auto"/>
              </w:rPr>
            </w:pPr>
            <w:r>
              <w:rPr>
                <w:rFonts w:ascii="Arial" w:cs="Arial" w:eastAsia="Arial" w:hAnsi="Arial"/>
                <w:sz w:val="16"/>
                <w:szCs w:val="16"/>
                <w:b w:val="1"/>
                <w:bCs w:val="1"/>
                <w:color w:val="auto"/>
              </w:rPr>
              <w:t>Trading Symbol(s)</w:t>
            </w:r>
          </w:p>
        </w:tc>
        <w:tc>
          <w:tcPr>
            <w:tcW w:w="100" w:type="dxa"/>
            <w:vAlign w:val="bottom"/>
          </w:tcPr>
          <w:p>
            <w:pPr>
              <w:spacing w:after="0"/>
              <w:rPr>
                <w:sz w:val="19"/>
                <w:szCs w:val="19"/>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218"/>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Class A Common Stock,</w:t>
            </w:r>
          </w:p>
        </w:tc>
        <w:tc>
          <w:tcPr>
            <w:tcW w:w="3020" w:type="dxa"/>
            <w:vAlign w:val="bottom"/>
            <w:gridSpan w:val="2"/>
          </w:tcPr>
          <w:p>
            <w:pPr>
              <w:jc w:val="center"/>
              <w:ind w:right="840"/>
              <w:spacing w:after="0"/>
              <w:rPr>
                <w:sz w:val="20"/>
                <w:szCs w:val="20"/>
                <w:color w:val="auto"/>
              </w:rPr>
            </w:pPr>
            <w:r>
              <w:rPr>
                <w:rFonts w:ascii="Arial" w:cs="Arial" w:eastAsia="Arial" w:hAnsi="Arial"/>
                <w:sz w:val="16"/>
                <w:szCs w:val="16"/>
                <w:color w:val="auto"/>
              </w:rPr>
              <w:t>GOCO</w:t>
            </w:r>
          </w:p>
        </w:tc>
        <w:tc>
          <w:tcPr>
            <w:tcW w:w="3680" w:type="dxa"/>
            <w:vAlign w:val="bottom"/>
          </w:tcPr>
          <w:p>
            <w:pPr>
              <w:jc w:val="center"/>
              <w:spacing w:after="0"/>
              <w:rPr>
                <w:sz w:val="20"/>
                <w:szCs w:val="20"/>
                <w:color w:val="auto"/>
              </w:rPr>
            </w:pPr>
            <w:r>
              <w:rPr>
                <w:rFonts w:ascii="Arial" w:cs="Arial" w:eastAsia="Arial" w:hAnsi="Arial"/>
                <w:sz w:val="16"/>
                <w:szCs w:val="16"/>
                <w:color w:val="auto"/>
              </w:rPr>
              <w:t>The Nasdaq Global Market</w:t>
            </w:r>
          </w:p>
        </w:tc>
      </w:tr>
      <w:tr>
        <w:trPr>
          <w:trHeight w:val="195"/>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$0.0001 par value per share</w:t>
            </w: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spacing w:after="0"/>
              <w:rPr>
                <w:sz w:val="16"/>
                <w:szCs w:val="16"/>
                <w:color w:val="auto"/>
              </w:rPr>
            </w:pPr>
          </w:p>
        </w:tc>
      </w:tr>
    </w:tbl>
    <w:p>
      <w:pPr>
        <w:spacing w:after="0" w:line="210"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55" w:lineRule="exact"/>
        <w:rPr>
          <w:sz w:val="24"/>
          <w:szCs w:val="24"/>
          <w:color w:val="auto"/>
        </w:rPr>
      </w:pPr>
    </w:p>
    <w:p>
      <w:pPr>
        <w:ind w:right="14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726440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113030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type w:val="continuous"/>
        </w:sectPr>
      </w:pPr>
    </w:p>
    <w:bookmarkStart w:id="1" w:name="page2"/>
    <w:bookmarkEnd w:id="1"/>
    <w:p>
      <w:pPr>
        <w:spacing w:after="0"/>
        <w:tabs>
          <w:tab w:leader="none" w:pos="900" w:val="left"/>
        </w:tabs>
        <w:rPr>
          <w:sz w:val="20"/>
          <w:szCs w:val="20"/>
          <w:color w:val="auto"/>
        </w:rPr>
      </w:pPr>
      <w:r>
        <w:rPr>
          <w:rFonts w:ascii="Arial" w:cs="Arial" w:eastAsia="Arial" w:hAnsi="Arial"/>
          <w:sz w:val="16"/>
          <w:szCs w:val="16"/>
          <w:b w:val="1"/>
          <w:bCs w:val="1"/>
          <w:color w:val="auto"/>
        </w:rPr>
        <w:t>Item 2.02.</w:t>
        <w:tab/>
        <w:t>Results of Operations and Financial Condition.</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On May 12, 2021, GoHealth, Inc. issued a press release announcing its financial results for the quarter ended March 31, 2021. A copy of the press release is furnished as Exhibit 99.1 to this Current Report on Form 8-K.</w:t>
      </w:r>
    </w:p>
    <w:p>
      <w:pPr>
        <w:spacing w:after="0" w:line="87"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The information furnished pursuant to this Item 2.02 and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b w:val="1"/>
          <w:bCs w:val="1"/>
          <w:color w:val="auto"/>
        </w:rPr>
        <w:t>Item 9.01.</w:t>
        <w:tab/>
        <w:t>Financial Statements and Exhibits.</w:t>
      </w:r>
    </w:p>
    <w:p>
      <w:pPr>
        <w:spacing w:after="0" w:line="133"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Exhibit Number</w:t>
            </w:r>
          </w:p>
        </w:tc>
        <w:tc>
          <w:tcPr>
            <w:tcW w:w="2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Arial" w:cs="Arial" w:eastAsia="Arial" w:hAnsi="Arial"/>
                <w:sz w:val="16"/>
                <w:szCs w:val="16"/>
                <w:b w:val="1"/>
                <w:bCs w:val="1"/>
                <w:color w:val="auto"/>
              </w:rPr>
              <w:t>Exhibit Description</w:t>
            </w:r>
          </w:p>
        </w:tc>
      </w:tr>
      <w:tr>
        <w:trPr>
          <w:trHeight w:val="172"/>
        </w:trPr>
        <w:tc>
          <w:tcPr>
            <w:tcW w:w="1300" w:type="dxa"/>
            <w:vAlign w:val="bottom"/>
            <w:tcBorders>
              <w:top w:val="single" w:sz="8" w:color="auto"/>
            </w:tcBorders>
          </w:tcPr>
          <w:p>
            <w:pPr>
              <w:jc w:val="right"/>
              <w:ind w:right="419"/>
              <w:spacing w:after="0" w:line="172" w:lineRule="exact"/>
              <w:rPr>
                <w:sz w:val="20"/>
                <w:szCs w:val="20"/>
                <w:color w:val="auto"/>
              </w:rPr>
            </w:pPr>
            <w:r>
              <w:rPr>
                <w:rFonts w:ascii="Arial" w:cs="Arial" w:eastAsia="Arial" w:hAnsi="Arial"/>
                <w:sz w:val="16"/>
                <w:szCs w:val="16"/>
                <w:color w:val="auto"/>
              </w:rPr>
              <w:t>99.1</w:t>
            </w: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520" w:type="dxa"/>
            <w:vAlign w:val="bottom"/>
            <w:tcBorders>
              <w:top w:val="single" w:sz="8" w:color="auto"/>
              <w:bottom w:val="single" w:sz="8" w:color="0000FF"/>
            </w:tcBorders>
          </w:tcPr>
          <w:p>
            <w:pPr>
              <w:spacing w:after="0" w:line="172" w:lineRule="exact"/>
              <w:rPr>
                <w:rFonts w:ascii="Arial" w:cs="Arial" w:eastAsia="Arial" w:hAnsi="Arial"/>
                <w:sz w:val="16"/>
                <w:szCs w:val="16"/>
                <w:color w:val="0000FF"/>
              </w:rPr>
            </w:pPr>
            <w:hyperlink w:anchor="page4">
              <w:r>
                <w:rPr>
                  <w:rFonts w:ascii="Arial" w:cs="Arial" w:eastAsia="Arial" w:hAnsi="Arial"/>
                  <w:sz w:val="16"/>
                  <w:szCs w:val="16"/>
                  <w:color w:val="0000FF"/>
                </w:rPr>
                <w:t xml:space="preserve">Press release, dated May </w:t>
              </w:r>
            </w:hyperlink>
            <w:r>
              <w:rPr>
                <w:rFonts w:ascii="Arial" w:cs="Arial" w:eastAsia="Arial" w:hAnsi="Arial"/>
                <w:sz w:val="16"/>
                <w:szCs w:val="16"/>
                <w:color w:val="0000FF"/>
              </w:rPr>
              <w:t xml:space="preserve">12, </w:t>
            </w:r>
            <w:hyperlink w:anchor="page4">
              <w:r>
                <w:rPr>
                  <w:rFonts w:ascii="Arial" w:cs="Arial" w:eastAsia="Arial" w:hAnsi="Arial"/>
                  <w:sz w:val="16"/>
                  <w:szCs w:val="16"/>
                  <w:color w:val="0000FF"/>
                </w:rPr>
                <w:t>2021</w:t>
              </w:r>
            </w:hyperlink>
          </w:p>
        </w:tc>
        <w:tc>
          <w:tcPr>
            <w:tcW w:w="7320" w:type="dxa"/>
            <w:vAlign w:val="bottom"/>
            <w:tcBorders>
              <w:top w:val="single" w:sz="8" w:color="auto"/>
            </w:tcBorders>
          </w:tcPr>
          <w:p>
            <w:pPr>
              <w:spacing w:after="0"/>
              <w:rPr>
                <w:sz w:val="14"/>
                <w:szCs w:val="14"/>
                <w:color w:val="auto"/>
              </w:rPr>
            </w:pPr>
          </w:p>
        </w:tc>
      </w:tr>
      <w:tr>
        <w:trPr>
          <w:trHeight w:val="231"/>
        </w:trPr>
        <w:tc>
          <w:tcPr>
            <w:tcW w:w="1300" w:type="dxa"/>
            <w:vAlign w:val="bottom"/>
          </w:tcPr>
          <w:p>
            <w:pPr>
              <w:jc w:val="right"/>
              <w:ind w:right="439"/>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40" w:type="dxa"/>
            <w:vAlign w:val="bottom"/>
            <w:gridSpan w:val="2"/>
          </w:tcPr>
          <w:p>
            <w:pPr>
              <w:spacing w:after="0"/>
              <w:rPr>
                <w:sz w:val="20"/>
                <w:szCs w:val="20"/>
                <w:color w:val="auto"/>
              </w:rPr>
            </w:pPr>
            <w:r>
              <w:rPr>
                <w:rFonts w:ascii="Arial" w:cs="Arial" w:eastAsia="Arial" w:hAnsi="Arial"/>
                <w:sz w:val="16"/>
                <w:szCs w:val="16"/>
                <w:color w:val="auto"/>
              </w:rPr>
              <w:t>Cover Page Interactive Data File (the cover page XBRL tags are embedded within the Inline XBRL document)</w:t>
            </w:r>
          </w:p>
        </w:tc>
      </w:tr>
      <w:tr>
        <w:trPr>
          <w:trHeight w:val="985"/>
        </w:trPr>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7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21"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GoHealth, Inc.</w:t>
      </w:r>
    </w:p>
    <w:p>
      <w:pPr>
        <w:spacing w:after="0" w:line="25"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(Registrant)</w:t>
      </w:r>
    </w:p>
    <w:p>
      <w:pPr>
        <w:spacing w:after="0" w:line="208" w:lineRule="exact"/>
        <w:rPr>
          <w:sz w:val="20"/>
          <w:szCs w:val="20"/>
          <w:color w:val="auto"/>
        </w:rPr>
      </w:pPr>
    </w:p>
    <w:p>
      <w:pPr>
        <w:ind w:left="240"/>
        <w:spacing w:after="0"/>
        <w:tabs>
          <w:tab w:leader="none" w:pos="5740" w:val="left"/>
        </w:tabs>
        <w:rPr>
          <w:sz w:val="20"/>
          <w:szCs w:val="20"/>
          <w:color w:val="auto"/>
        </w:rPr>
      </w:pPr>
      <w:r>
        <w:rPr>
          <w:rFonts w:ascii="Arial" w:cs="Arial" w:eastAsia="Arial" w:hAnsi="Arial"/>
          <w:sz w:val="16"/>
          <w:szCs w:val="16"/>
          <w:color w:val="auto"/>
        </w:rPr>
        <w:t>Date: May 12, 2021</w:t>
      </w:r>
      <w:r>
        <w:rPr>
          <w:sz w:val="20"/>
          <w:szCs w:val="20"/>
          <w:color w:val="auto"/>
        </w:rPr>
        <w:tab/>
      </w:r>
      <w:r>
        <w:rPr>
          <w:rFonts w:ascii="Arial" w:cs="Arial" w:eastAsia="Arial" w:hAnsi="Arial"/>
          <w:sz w:val="15"/>
          <w:szCs w:val="15"/>
          <w:color w:val="auto"/>
        </w:rPr>
        <w:t>By: /s/ Travis J. Matthiesen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19050</wp:posOffset>
            </wp:positionV>
            <wp:extent cx="33261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53"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Travis J. Matthiesen</w:t>
      </w:r>
    </w:p>
    <w:p>
      <w:pPr>
        <w:spacing w:after="0" w:line="5"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Chief Financial Officer</w:t>
      </w:r>
    </w:p>
    <w:p>
      <w:pPr>
        <w:spacing w:after="0" w:line="5" w:lineRule="exact"/>
        <w:rPr>
          <w:sz w:val="20"/>
          <w:szCs w:val="20"/>
          <w:color w:val="auto"/>
        </w:rPr>
      </w:pPr>
    </w:p>
    <w:p>
      <w:pPr>
        <w:ind w:left="6020"/>
        <w:spacing w:after="0"/>
        <w:rPr>
          <w:sz w:val="20"/>
          <w:szCs w:val="20"/>
          <w:color w:val="auto"/>
        </w:rPr>
      </w:pPr>
      <w:r>
        <w:rPr>
          <w:rFonts w:ascii="Arial" w:cs="Arial" w:eastAsia="Arial" w:hAnsi="Arial"/>
          <w:sz w:val="16"/>
          <w:szCs w:val="16"/>
          <w:i w:val="1"/>
          <w:iCs w:val="1"/>
          <w:color w:val="auto"/>
        </w:rPr>
        <w:t>(Principal Financial and Accounting Officer)</w:t>
      </w:r>
    </w:p>
    <w:p>
      <w:pPr>
        <w:sectPr>
          <w:pgSz w:w="11900" w:h="16838" w:orient="portrait"/>
          <w:cols w:equalWidth="0" w:num="1">
            <w:col w:w="11220"/>
          </w:cols>
          <w:pgMar w:left="320" w:top="999" w:right="359" w:bottom="1440" w:gutter="0" w:footer="0" w:header="0"/>
        </w:sectPr>
      </w:pPr>
    </w:p>
    <w:bookmarkStart w:id="3" w:name="page4"/>
    <w:bookmarkEnd w:id="3"/>
    <w:p>
      <w:pPr>
        <w:ind w:left="20"/>
        <w:spacing w:after="0"/>
        <w:rPr>
          <w:sz w:val="20"/>
          <w:szCs w:val="20"/>
          <w:color w:val="auto"/>
        </w:rPr>
      </w:pPr>
      <w:r>
        <w:rPr>
          <w:rFonts w:ascii="Arial" w:cs="Arial" w:eastAsia="Arial" w:hAnsi="Arial"/>
          <w:sz w:val="29"/>
          <w:szCs w:val="29"/>
          <w:b w:val="1"/>
          <w:bCs w:val="1"/>
          <w:color w:val="0A2299"/>
        </w:rPr>
        <w:drawing>
          <wp:anchor simplePos="0" relativeHeight="251657728" behindDoc="1" locked="0" layoutInCell="0" allowOverlap="1">
            <wp:simplePos x="0" y="0"/>
            <wp:positionH relativeFrom="page">
              <wp:posOffset>6251575</wp:posOffset>
            </wp:positionH>
            <wp:positionV relativeFrom="page">
              <wp:posOffset>208915</wp:posOffset>
            </wp:positionV>
            <wp:extent cx="1080135" cy="5657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080135" cy="565785"/>
                    </a:xfrm>
                    <a:prstGeom prst="rect">
                      <a:avLst/>
                    </a:prstGeom>
                    <a:noFill/>
                  </pic:spPr>
                </pic:pic>
              </a:graphicData>
            </a:graphic>
          </wp:anchor>
        </w:drawing>
        <w:t>GoHealth Reports First Quarter 2021 Results</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6D6D6D"/>
        </w:rPr>
        <w:t>Reaffirms Full Year 2021 Growth Outlook</w:t>
      </w:r>
    </w:p>
    <w:p>
      <w:pPr>
        <w:spacing w:after="0" w:line="200" w:lineRule="exact"/>
        <w:rPr>
          <w:sz w:val="20"/>
          <w:szCs w:val="20"/>
          <w:color w:val="auto"/>
        </w:rPr>
      </w:pPr>
    </w:p>
    <w:p>
      <w:pPr>
        <w:spacing w:after="0" w:line="216" w:lineRule="exact"/>
        <w:rPr>
          <w:sz w:val="20"/>
          <w:szCs w:val="20"/>
          <w:color w:val="auto"/>
        </w:rPr>
      </w:pPr>
    </w:p>
    <w:p>
      <w:pPr>
        <w:ind w:right="440"/>
        <w:spacing w:after="0" w:line="281" w:lineRule="auto"/>
        <w:rPr>
          <w:sz w:val="20"/>
          <w:szCs w:val="20"/>
          <w:color w:val="auto"/>
        </w:rPr>
      </w:pPr>
      <w:r>
        <w:rPr>
          <w:rFonts w:ascii="Arial" w:cs="Arial" w:eastAsia="Arial" w:hAnsi="Arial"/>
          <w:sz w:val="16"/>
          <w:szCs w:val="16"/>
          <w:i w:val="1"/>
          <w:iCs w:val="1"/>
          <w:color w:val="auto"/>
        </w:rPr>
        <w:t xml:space="preserve">CHICAGO, May 12, 2021 </w:t>
      </w:r>
      <w:r>
        <w:rPr>
          <w:rFonts w:ascii="Arial" w:cs="Arial" w:eastAsia="Arial" w:hAnsi="Arial"/>
          <w:sz w:val="16"/>
          <w:szCs w:val="16"/>
          <w:color w:val="auto"/>
        </w:rPr>
        <w:t>— GoHealth, Inc. (NASDAQ: GOCO), a leading health insurance marketplace and Medicare-focused digital health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announced financial results for the three months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60960</wp:posOffset>
            </wp:positionV>
            <wp:extent cx="171450" cy="265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 cy="265430"/>
                    </a:xfrm>
                    <a:prstGeom prst="rect">
                      <a:avLst/>
                    </a:prstGeom>
                    <a:noFill/>
                  </pic:spPr>
                </pic:pic>
              </a:graphicData>
            </a:graphic>
          </wp:anchor>
        </w:drawing>
      </w:r>
    </w:p>
    <w:p>
      <w:pPr>
        <w:spacing w:after="0" w:line="24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First quarter 2021 net revenue of $204.2 million increased 45% compared to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139065</wp:posOffset>
            </wp:positionV>
            <wp:extent cx="171450" cy="265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 cy="265430"/>
                    </a:xfrm>
                    <a:prstGeom prst="rect">
                      <a:avLst/>
                    </a:prstGeom>
                    <a:noFill/>
                  </pic:spPr>
                </pic:pic>
              </a:graphicData>
            </a:graphic>
          </wp:anchor>
        </w:drawing>
      </w:r>
    </w:p>
    <w:p>
      <w:pPr>
        <w:spacing w:after="0" w:line="36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First quarter 2021 Medicare—Internal revenue of $157.4 million increased 65% compared to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139065</wp:posOffset>
            </wp:positionV>
            <wp:extent cx="171450" cy="2660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 cy="266065"/>
                    </a:xfrm>
                    <a:prstGeom prst="rect">
                      <a:avLst/>
                    </a:prstGeom>
                    <a:noFill/>
                  </pic:spPr>
                </pic:pic>
              </a:graphicData>
            </a:graphic>
          </wp:anchor>
        </w:drawing>
      </w:r>
    </w:p>
    <w:p>
      <w:pPr>
        <w:spacing w:after="0" w:line="36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First quarter 2021 Medicare Advantage (“MA”) Approved Submissions of 171,127 increased 48% compared to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139065</wp:posOffset>
            </wp:positionV>
            <wp:extent cx="171450"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 cy="265430"/>
                    </a:xfrm>
                    <a:prstGeom prst="rect">
                      <a:avLst/>
                    </a:prstGeom>
                    <a:noFill/>
                  </pic:spPr>
                </pic:pic>
              </a:graphicData>
            </a:graphic>
          </wp:anchor>
        </w:drawing>
      </w:r>
    </w:p>
    <w:p>
      <w:pPr>
        <w:spacing w:after="0" w:line="36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First quarter 2021 MA LTV Per Approved Submission of $995 increased 17% compared to the prior year period</w:t>
      </w:r>
    </w:p>
    <w:p>
      <w:pPr>
        <w:spacing w:after="0" w:line="232" w:lineRule="exact"/>
        <w:rPr>
          <w:sz w:val="20"/>
          <w:szCs w:val="20"/>
          <w:color w:val="auto"/>
        </w:rPr>
      </w:pPr>
    </w:p>
    <w:p>
      <w:pPr>
        <w:jc w:val="both"/>
        <w:ind w:left="560" w:right="280"/>
        <w:spacing w:after="0" w:line="205" w:lineRule="auto"/>
        <w:rPr>
          <w:sz w:val="20"/>
          <w:szCs w:val="20"/>
          <w:color w:val="auto"/>
        </w:rPr>
      </w:pPr>
      <w:r>
        <w:rPr>
          <w:rFonts w:ascii="Arial" w:cs="Arial" w:eastAsia="Arial" w:hAnsi="Arial"/>
          <w:sz w:val="16"/>
          <w:szCs w:val="16"/>
          <w:color w:val="auto"/>
        </w:rPr>
        <w:t>First quarter 2021 net loss of $7.3 million compared to a net loss of $0.9 million in prior year period;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of $32.0 million decreased 8% compared to the prior year period due to the 2021 strategic investments in agent capacity, marketplace technology, branding and Encompass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-329565</wp:posOffset>
            </wp:positionV>
            <wp:extent cx="179705" cy="257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9705" cy="25717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46990</wp:posOffset>
            </wp:positionV>
            <wp:extent cx="179705" cy="257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9705" cy="257175"/>
                    </a:xfrm>
                    <a:prstGeom prst="rect">
                      <a:avLst/>
                    </a:prstGeom>
                    <a:noFill/>
                  </pic:spPr>
                </pic:pic>
              </a:graphicData>
            </a:graphic>
          </wp:anchor>
        </w:drawing>
      </w:r>
    </w:p>
    <w:p>
      <w:pPr>
        <w:spacing w:after="0" w:line="56" w:lineRule="exact"/>
        <w:rPr>
          <w:sz w:val="20"/>
          <w:szCs w:val="20"/>
          <w:color w:val="auto"/>
        </w:rPr>
      </w:pPr>
    </w:p>
    <w:p>
      <w:pPr>
        <w:ind w:left="560" w:right="320"/>
        <w:spacing w:after="0" w:line="225" w:lineRule="auto"/>
        <w:rPr>
          <w:sz w:val="20"/>
          <w:szCs w:val="20"/>
          <w:color w:val="auto"/>
        </w:rPr>
      </w:pPr>
      <w:r>
        <w:rPr>
          <w:rFonts w:ascii="Arial" w:cs="Arial" w:eastAsia="Arial" w:hAnsi="Arial"/>
          <w:sz w:val="16"/>
          <w:szCs w:val="16"/>
          <w:color w:val="auto"/>
        </w:rPr>
        <w:t>The Company reaffirmed its full year 2021 outlook, and expects total net revenue of $1,150 - $1,300 million (+31% to +48%) powered by commission net revenue of $950 - $1,100 million (+42% to +64%). The Company also expects Adjusted EBITDA of $345 - $385 million (+27% to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40575" cy="14916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0575" cy="149161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0" w:right="20"/>
        <w:spacing w:after="0"/>
        <w:rPr>
          <w:sz w:val="20"/>
          <w:szCs w:val="20"/>
          <w:color w:val="auto"/>
        </w:rPr>
      </w:pPr>
      <w:r>
        <w:rPr>
          <w:rFonts w:ascii="Arial" w:cs="Arial" w:eastAsia="Arial" w:hAnsi="Arial"/>
          <w:sz w:val="16"/>
          <w:szCs w:val="16"/>
          <w:color w:val="auto"/>
        </w:rPr>
        <w:t>Clint Jones, co-founder and CEO said, “GoHealth’s first quarter revenue growth of 45% was driven by a 65% gain in our Medicare-Internal segment as LTVs expanded 17%. TeleCare initiatives continued to drive persistency gains and our ramped up investments in our Encompass Platform led to $9 million in revenue contribution from the platform’s additional services beyond enrollment for carriers. Given our first quarter results were consistent with our expectations, as well as the excellent progress we achieved toward our 2021 hiring and efficiency goals, we are reaffirming our full year 2021 growth outlook.”</w:t>
      </w:r>
    </w:p>
    <w:p>
      <w:pPr>
        <w:spacing w:after="0" w:line="290" w:lineRule="exact"/>
        <w:rPr>
          <w:sz w:val="20"/>
          <w:szCs w:val="20"/>
          <w:color w:val="auto"/>
        </w:rPr>
      </w:pPr>
    </w:p>
    <w:p>
      <w:pPr>
        <w:ind w:left="40" w:right="20"/>
        <w:spacing w:after="0" w:line="219" w:lineRule="auto"/>
        <w:rPr>
          <w:sz w:val="20"/>
          <w:szCs w:val="20"/>
          <w:color w:val="auto"/>
        </w:rPr>
      </w:pPr>
      <w:r>
        <w:rPr>
          <w:rFonts w:ascii="Arial" w:cs="Arial" w:eastAsia="Arial" w:hAnsi="Arial"/>
          <w:sz w:val="16"/>
          <w:szCs w:val="16"/>
          <w:color w:val="auto"/>
        </w:rPr>
        <w:t>Jones continued, “Seniors continue to demonstrate a high degree of interest in our model, and increasingly want to explore their Medicare plan choices from the safety and comfort of their own home through our Choice platform. GoHealth’s telesales agents are equipped with the decision support tools and experience to help consumers select the best plan for their unique needs, and in the process, achieve a superior health outcome with lower costs. We are in the early days of realizing this enormous market opportunity by building GoHealth’s position as the trusted advisor for consumers, helping these consumers navigate their healthcare journey through our Encompass offerings, and in the process, create value for our partners.”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First Quarter 2021 Highlights</w:t>
      </w:r>
      <w:r>
        <w:rPr>
          <w:rFonts w:ascii="Arial" w:cs="Arial" w:eastAsia="Arial" w:hAnsi="Arial"/>
          <w:sz w:val="21"/>
          <w:szCs w:val="21"/>
          <w:b w:val="1"/>
          <w:bCs w:val="1"/>
          <w:color w:val="0A2299"/>
          <w:vertAlign w:val="superscript"/>
        </w:rPr>
        <w:t>2</w:t>
      </w:r>
    </w:p>
    <w:p>
      <w:pPr>
        <w:spacing w:after="0" w:line="76"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Total company revenue grew 45% to $204.2 million</w:t>
      </w:r>
    </w:p>
    <w:p>
      <w:pPr>
        <w:spacing w:after="0" w:line="110" w:lineRule="exact"/>
        <w:rPr>
          <w:rFonts w:ascii="Arial" w:cs="Arial" w:eastAsia="Arial" w:hAnsi="Arial"/>
          <w:sz w:val="16"/>
          <w:szCs w:val="16"/>
          <w:color w:val="auto"/>
        </w:rPr>
      </w:pPr>
    </w:p>
    <w:p>
      <w:pPr>
        <w:ind w:left="1300" w:hanging="320"/>
        <w:spacing w:after="0"/>
        <w:tabs>
          <w:tab w:leader="none" w:pos="1300" w:val="left"/>
        </w:tabs>
        <w:numPr>
          <w:ilvl w:val="1"/>
          <w:numId w:val="3"/>
        </w:numPr>
        <w:rPr>
          <w:rFonts w:ascii="Arial" w:cs="Arial" w:eastAsia="Arial" w:hAnsi="Arial"/>
          <w:sz w:val="16"/>
          <w:szCs w:val="16"/>
          <w:color w:val="auto"/>
        </w:rPr>
      </w:pPr>
      <w:r>
        <w:rPr>
          <w:rFonts w:ascii="Arial" w:cs="Arial" w:eastAsia="Arial" w:hAnsi="Arial"/>
          <w:sz w:val="16"/>
          <w:szCs w:val="16"/>
          <w:color w:val="auto"/>
        </w:rPr>
        <w:t>Total Medicare Submitted Policies</w:t>
      </w:r>
      <w:r>
        <w:rPr>
          <w:rFonts w:ascii="Arial" w:cs="Arial" w:eastAsia="Arial" w:hAnsi="Arial"/>
          <w:sz w:val="21"/>
          <w:szCs w:val="21"/>
          <w:color w:val="auto"/>
          <w:vertAlign w:val="superscript"/>
        </w:rPr>
        <w:t>3</w:t>
      </w:r>
      <w:r>
        <w:rPr>
          <w:rFonts w:ascii="Arial" w:cs="Arial" w:eastAsia="Arial" w:hAnsi="Arial"/>
          <w:sz w:val="16"/>
          <w:szCs w:val="16"/>
          <w:color w:val="auto"/>
        </w:rPr>
        <w:t xml:space="preserve"> grew 40% to 185,045</w:t>
      </w:r>
    </w:p>
    <w:p>
      <w:pPr>
        <w:spacing w:after="0" w:line="5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Medicare—Internal net revenue increased 65% to $157.4 million</w:t>
      </w:r>
    </w:p>
    <w:p>
      <w:pPr>
        <w:spacing w:after="0" w:line="113" w:lineRule="exact"/>
        <w:rPr>
          <w:rFonts w:ascii="Arial" w:cs="Arial" w:eastAsia="Arial" w:hAnsi="Arial"/>
          <w:sz w:val="16"/>
          <w:szCs w:val="16"/>
          <w:color w:val="auto"/>
        </w:rPr>
      </w:pPr>
    </w:p>
    <w:p>
      <w:pPr>
        <w:ind w:left="1300" w:hanging="320"/>
        <w:spacing w:after="0"/>
        <w:tabs>
          <w:tab w:leader="none" w:pos="1300" w:val="left"/>
        </w:tabs>
        <w:numPr>
          <w:ilvl w:val="1"/>
          <w:numId w:val="3"/>
        </w:numPr>
        <w:rPr>
          <w:rFonts w:ascii="Arial" w:cs="Arial" w:eastAsia="Arial" w:hAnsi="Arial"/>
          <w:sz w:val="16"/>
          <w:szCs w:val="16"/>
          <w:color w:val="auto"/>
        </w:rPr>
      </w:pPr>
      <w:r>
        <w:rPr>
          <w:rFonts w:ascii="Arial" w:cs="Arial" w:eastAsia="Arial" w:hAnsi="Arial"/>
          <w:sz w:val="16"/>
          <w:szCs w:val="16"/>
          <w:color w:val="auto"/>
        </w:rPr>
        <w:t>Medicare—Internal segment profit increased 11% to $46.4 million, with a 30% margin</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LTV Per carrier Approved MA Submission increased 17% to $995, powered by the combination of persistency gains and Encompass revenue</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Adjusted EBITDA decreased 8% to $32.0 million</w:t>
      </w:r>
    </w:p>
    <w:p>
      <w:pPr>
        <w:spacing w:after="0" w:line="113" w:lineRule="exact"/>
        <w:rPr>
          <w:rFonts w:ascii="Arial" w:cs="Arial" w:eastAsia="Arial" w:hAnsi="Arial"/>
          <w:sz w:val="16"/>
          <w:szCs w:val="16"/>
          <w:color w:val="auto"/>
        </w:rPr>
      </w:pPr>
    </w:p>
    <w:p>
      <w:pPr>
        <w:ind w:left="1300" w:right="80" w:hanging="320"/>
        <w:spacing w:after="0" w:line="253" w:lineRule="auto"/>
        <w:tabs>
          <w:tab w:leader="none" w:pos="1290" w:val="left"/>
        </w:tabs>
        <w:numPr>
          <w:ilvl w:val="1"/>
          <w:numId w:val="3"/>
        </w:numPr>
        <w:rPr>
          <w:rFonts w:ascii="Arial" w:cs="Arial" w:eastAsia="Arial" w:hAnsi="Arial"/>
          <w:sz w:val="16"/>
          <w:szCs w:val="16"/>
          <w:color w:val="auto"/>
        </w:rPr>
      </w:pPr>
      <w:r>
        <w:rPr>
          <w:rFonts w:ascii="Arial" w:cs="Arial" w:eastAsia="Arial" w:hAnsi="Arial"/>
          <w:sz w:val="16"/>
          <w:szCs w:val="16"/>
          <w:color w:val="auto"/>
        </w:rPr>
        <w:t>Aggregate investment in customer care and enrollment and technology grew $28.1 million, an increase of 99%, as the Company prepares for the upcoming Annual Enrollment Period, including enhanced tools and training to continue powering conversion gains and improved effectuation, as well as investments in Encompass</w:t>
      </w:r>
    </w:p>
    <w:p>
      <w:pPr>
        <w:spacing w:after="0" w:line="93" w:lineRule="exact"/>
        <w:rPr>
          <w:rFonts w:ascii="Arial" w:cs="Arial" w:eastAsia="Arial" w:hAnsi="Arial"/>
          <w:sz w:val="16"/>
          <w:szCs w:val="16"/>
          <w:color w:val="auto"/>
        </w:rPr>
      </w:pPr>
    </w:p>
    <w:p>
      <w:pPr>
        <w:ind w:left="1300" w:hanging="320"/>
        <w:spacing w:after="0"/>
        <w:tabs>
          <w:tab w:leader="none" w:pos="1300" w:val="left"/>
        </w:tabs>
        <w:numPr>
          <w:ilvl w:val="1"/>
          <w:numId w:val="3"/>
        </w:numPr>
        <w:rPr>
          <w:rFonts w:ascii="Arial" w:cs="Arial" w:eastAsia="Arial" w:hAnsi="Arial"/>
          <w:sz w:val="16"/>
          <w:szCs w:val="16"/>
          <w:color w:val="auto"/>
        </w:rPr>
      </w:pPr>
      <w:r>
        <w:rPr>
          <w:rFonts w:ascii="Arial" w:cs="Arial" w:eastAsia="Arial" w:hAnsi="Arial"/>
          <w:sz w:val="16"/>
          <w:szCs w:val="16"/>
          <w:color w:val="auto"/>
        </w:rPr>
        <w:t>Total cost of revenue, marketing and advertising expense grew 51%, roughly in-line with sales growth</w:t>
      </w:r>
    </w:p>
    <w:p>
      <w:pPr>
        <w:spacing w:after="0" w:line="113" w:lineRule="exact"/>
        <w:rPr>
          <w:rFonts w:ascii="Arial" w:cs="Arial" w:eastAsia="Arial" w:hAnsi="Arial"/>
          <w:sz w:val="16"/>
          <w:szCs w:val="16"/>
          <w:color w:val="auto"/>
        </w:rPr>
      </w:pPr>
    </w:p>
    <w:p>
      <w:pPr>
        <w:ind w:left="660" w:right="200" w:hanging="328"/>
        <w:spacing w:after="0" w:line="260"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Newly expanded credit facility, combined with prior facilities, provides $200 million of incremental borrowing capacity, in addition to $174 million of cash and cash equivalents on hand</w:t>
      </w: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477"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0A2299"/>
        </w:rPr>
        <w:t>2021 Financial Outlook</w:t>
      </w:r>
    </w:p>
    <w:p>
      <w:pPr>
        <w:spacing w:after="0" w:line="133" w:lineRule="exact"/>
        <w:rPr>
          <w:sz w:val="20"/>
          <w:szCs w:val="20"/>
          <w:color w:val="auto"/>
        </w:rPr>
      </w:pPr>
    </w:p>
    <w:p>
      <w:pPr>
        <w:jc w:val="both"/>
        <w:ind w:right="60"/>
        <w:spacing w:after="0" w:line="253" w:lineRule="auto"/>
        <w:rPr>
          <w:sz w:val="20"/>
          <w:szCs w:val="20"/>
          <w:color w:val="auto"/>
        </w:rPr>
      </w:pPr>
      <w:r>
        <w:rPr>
          <w:rFonts w:ascii="Arial" w:cs="Arial" w:eastAsia="Arial" w:hAnsi="Arial"/>
          <w:sz w:val="16"/>
          <w:szCs w:val="16"/>
          <w:color w:val="auto"/>
        </w:rPr>
        <w:t>The trajectory of the U.S. economy remains challenging to predict, particularly given the continued uncertainty associated with the pace of recovery from the COVID-19 pandemic. During this time, demand for healthcare has demonstrated great resilience, and we believe that the COVID-19 pandemic has created favorable, long-term industry dynamics for technology-driven, direct-to-consumer models such as GoHealth’s insurance marketplace.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reaffirming its financial outlook for the fiscal year ending December 31, 2021 based on current market conditions and expectations:</w:t>
      </w:r>
    </w:p>
    <w:p>
      <w:pPr>
        <w:spacing w:after="0" w:line="93"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Full-year 2021 net revenue of $1,150 - $1,300 million, representing year-over-year growth of 31% - 48%</w:t>
      </w:r>
    </w:p>
    <w:p>
      <w:pPr>
        <w:spacing w:after="0" w:line="113" w:lineRule="exact"/>
        <w:rPr>
          <w:rFonts w:ascii="Arial" w:cs="Arial" w:eastAsia="Arial" w:hAnsi="Arial"/>
          <w:sz w:val="16"/>
          <w:szCs w:val="16"/>
          <w:b w:val="1"/>
          <w:bCs w:val="1"/>
          <w:i w:val="1"/>
          <w:iCs w:val="1"/>
          <w:color w:val="auto"/>
        </w:rPr>
      </w:pPr>
    </w:p>
    <w:p>
      <w:pPr>
        <w:ind w:left="1300" w:right="460" w:hanging="320"/>
        <w:spacing w:after="0" w:line="286" w:lineRule="auto"/>
        <w:tabs>
          <w:tab w:leader="none" w:pos="1290" w:val="left"/>
        </w:tabs>
        <w:numPr>
          <w:ilvl w:val="1"/>
          <w:numId w:val="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Full-year 2021 commission revenue of $950 - $1,100 million, representing year-over-year growth of 42% - 64%, fueled by the Company’s continued investment in its Medicare business, including GoHealth’s Encompass Platform</w:t>
      </w:r>
    </w:p>
    <w:p>
      <w:pPr>
        <w:spacing w:after="0" w:line="47" w:lineRule="exact"/>
        <w:rPr>
          <w:rFonts w:ascii="Arial" w:cs="Arial" w:eastAsia="Arial" w:hAnsi="Arial"/>
          <w:sz w:val="16"/>
          <w:szCs w:val="16"/>
          <w:b w:val="1"/>
          <w:bCs w:val="1"/>
          <w:i w:val="1"/>
          <w:iCs w:val="1"/>
          <w:color w:val="auto"/>
        </w:rPr>
      </w:pPr>
    </w:p>
    <w:p>
      <w:pPr>
        <w:ind w:left="640" w:hanging="308"/>
        <w:spacing w:after="0"/>
        <w:tabs>
          <w:tab w:leader="none" w:pos="640" w:val="left"/>
        </w:tabs>
        <w:numPr>
          <w:ilvl w:val="0"/>
          <w:numId w:val="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Full-year 2021 adjusted EBITDA of $345 - $385 million, representing year-over-year growth of 27% - 42%</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Conference Call Details</w:t>
      </w:r>
    </w:p>
    <w:p>
      <w:pPr>
        <w:spacing w:after="0" w:line="66" w:lineRule="exact"/>
        <w:rPr>
          <w:sz w:val="20"/>
          <w:szCs w:val="20"/>
          <w:color w:val="auto"/>
        </w:rPr>
      </w:pPr>
    </w:p>
    <w:p>
      <w:pPr>
        <w:ind w:right="40"/>
        <w:spacing w:after="0" w:line="235" w:lineRule="auto"/>
        <w:rPr>
          <w:sz w:val="20"/>
          <w:szCs w:val="20"/>
          <w:color w:val="auto"/>
        </w:rPr>
      </w:pPr>
      <w:r>
        <w:rPr>
          <w:rFonts w:ascii="Arial" w:cs="Arial" w:eastAsia="Arial" w:hAnsi="Arial"/>
          <w:sz w:val="16"/>
          <w:szCs w:val="16"/>
          <w:color w:val="auto"/>
        </w:rPr>
        <w:t>The Company will host a conference call today, Wednesday, May 12, 2021 at 5:00 p.m. (ET) to discuss its financial results. A live audio webcast and a supplemental presentation will be available online at https://investors.gohealth.com. The conference call can also be accessed by dialing 1-833-519-1310 for U.S. participants, or 1-914-800-3876 for international participants, and referencing participant code 9944456. A replay of the call will be available for 30 days via webcast for on-demand listening shortly after the completion of the call, at the same web link.</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About GoHealth, Inc.:</w:t>
      </w:r>
    </w:p>
    <w:p>
      <w:pPr>
        <w:spacing w:after="0" w:line="66" w:lineRule="exact"/>
        <w:rPr>
          <w:sz w:val="20"/>
          <w:szCs w:val="20"/>
          <w:color w:val="auto"/>
        </w:rPr>
      </w:pPr>
    </w:p>
    <w:p>
      <w:pPr>
        <w:ind w:right="60"/>
        <w:spacing w:after="0" w:line="233" w:lineRule="auto"/>
        <w:rPr>
          <w:sz w:val="20"/>
          <w:szCs w:val="20"/>
          <w:color w:val="auto"/>
        </w:rPr>
      </w:pPr>
      <w:r>
        <w:rPr>
          <w:rFonts w:ascii="Arial" w:cs="Arial" w:eastAsia="Arial" w:hAnsi="Arial"/>
          <w:sz w:val="16"/>
          <w:szCs w:val="16"/>
          <w:color w:val="auto"/>
        </w:rPr>
        <w:t>As a leading health insurance marketplace and Medicare-focused digital health company, GoHealth's mission is to improve access to healthcare in America. Enrolling in a health insurance plan can be confusing for customers, and the seemingly small differences between plans can lead to significant out-of-pocket costs or lack of access to critical medicines and even providers. GoHealth combines cutting-edge technology, data science and deep industry expertise to match customers with the healthcare policy and carrier that is right for them. Since its inception, GoHealth has enrolled millions of people in Medicare and individual and family plans. For more information, visit https://www.gohealth.com.</w:t>
      </w: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Investor Relations: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Jay Koval, VP of Investor Relations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IR@gohealth.com</w:t>
      </w:r>
    </w:p>
    <w:p>
      <w:pPr>
        <w:spacing w:after="0" w:line="39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Media Relations: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Pressinquiries@gohealth.com</w:t>
      </w:r>
    </w:p>
    <w:p>
      <w:pPr>
        <w:spacing w:after="0" w:line="336"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Adjusted EBITDA is a non-GAAP measure. For a definition of Adjusted EBITDA and a reconciliation to the most comparable GAAP measure, please refer to the appendix.</w:t>
      </w:r>
    </w:p>
    <w:p>
      <w:pPr>
        <w:spacing w:after="0" w:line="11" w:lineRule="exact"/>
        <w:rPr>
          <w:rFonts w:ascii="Arial" w:cs="Arial" w:eastAsia="Arial" w:hAnsi="Arial"/>
          <w:sz w:val="13"/>
          <w:szCs w:val="13"/>
          <w:i w:val="1"/>
          <w:iCs w:val="1"/>
          <w:color w:val="auto"/>
        </w:rPr>
      </w:pPr>
    </w:p>
    <w:p>
      <w:pPr>
        <w:ind w:left="320" w:hanging="312"/>
        <w:spacing w:after="0"/>
        <w:tabs>
          <w:tab w:leader="none" w:pos="320"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First quarter 2021 results compared to the comparable prior year period.</w:t>
      </w:r>
    </w:p>
    <w:p>
      <w:pPr>
        <w:ind w:left="320" w:hanging="312"/>
        <w:spacing w:after="0"/>
        <w:tabs>
          <w:tab w:leader="none" w:pos="320"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Total Medicare Submitted Policies includes commissionable and non-commissionable policies.</w:t>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877"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0A2299"/>
        </w:rPr>
        <w:t>Forward-Looking Statements</w:t>
      </w:r>
    </w:p>
    <w:p>
      <w:pPr>
        <w:spacing w:after="0" w:line="133"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This release contains forward-looking statements within the meaning of the Private Securities Litigation Reform Act of 1995. All statements other than statements of historical facts contained in this press release may be forward-looking statements. Statements regarding the Company’s future results of operations and financial position, business strategy and plans and objectives of management for future operations, including, among others, statements regarding expected financial performance and operational performance for the fiscal year 2021, including with respect to revenue and Adjusted EBITDA are forward-looking statements. In some cases, you can identify forward-looking statements by terms, such as “may,” “will,” “should,” “expects,” “plans,” “anticipates,” “could,” “intends,” “targets,” “projects,” “contemplates,” “believes,” “estimates,” “predicts,” “potential” or “continue” or the negative of these terms or other similar expressions. Accordingly, we caution you that any such forward-looking statements are not guarantees of future performance and are subject to risks, assumptions and uncertainties that are difficult to predict. Although the Company believes that the expectations reflected in these forward-looking statements are reasonable as of the date made, actual results may prove to be materially different from the results expressed or implied by the forward-looking statements. There are or will be important factors that could cause the Company’s actual results to differ materially from those indicated in these forward-looking statements, including, but are not limited to, the following: the Company’s ability to comply with the numerous, complex and frequently changing laws regulating the marketing and sale of Medicare plans; the potential for an adverse change in the Company’s relationships with carriers, including a loss of a carrier relationship; failure to grow the Company’s customer base or retain its existing customers; carriers’ ability to reduce commissions paid to the Company and adversely change their underwriting practices; significant consolidation in the healthcare industry which could adversely alter the Company’s relationships with carriers; information technology systems failures or capacity constraints interrupting the Company’s operations; factors that adversely impact the Company’s estimate of LTV; the Company’s dependence on agents to sell insurance plans; changes in the health insurance system and laws and regulation governing health insurance markets; the inability to effectively advertise the Company’s products; and our ability to successfully implement our business plan during a global economic downturn caused by the COVID-19 pandemic.</w:t>
      </w:r>
    </w:p>
    <w:p>
      <w:pPr>
        <w:spacing w:after="0" w:line="102"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foregoing factors should not be construed as exhaustive and should be read together with the other cautionary statements included in this press release, as well as the cautionary statements and other risk factors set forth in the Company’s Annual Report on Form 10-K for the year ended December 31, 2020 and other SEC filings. If one or more events related to these or other risks or uncertainties materialize, or if the Company’s underlying assumptions prove to be incorrect, actual results may differ materially from what the Company anticipates. Many of the important factors that will determine these results are beyond the Company’s ability to control or predict. Accordingly, you should not place undue reliance on any such forward-looking statements. Any forward-looking statement speaks only as of the date on which it is made, and, except as otherwise required by law, the Company does not undertake any obligation to publicly update or review any forward-looking statement, whether as a result of new information, future developments or otherwise. New factors emerge from time-to-time, and it is not possible for us to predict which will arise. In addition, the Company cannot assess the impact of each factor on its business or the extent to which any factor, or combination of factors, may cause actual results to differ materially from those contained in any forward-looking statements.</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Use of Non-GAAP Financial Measures and Key Performance Indicators</w:t>
      </w:r>
    </w:p>
    <w:p>
      <w:pPr>
        <w:spacing w:after="0" w:line="133"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In this press release, we use supplemental measures of our performance that are derived from our consolidated financial information, but which are not presented in our Consolidated Financial Statements prepared in accordance with Generally Accepted Accounting Principles (“GAAP”). These non-GAAP financial measures include net income (loss) before interest expense, income tax expense (benefit) and depreciation and amortization expense (“EBITDA”); Adjusted EBITDA and Adjusted EBITDA margin. Adjusted EBITDA is the primary financial performance measure used by management to evaluate its business and monitor its results of operations.</w:t>
      </w:r>
    </w:p>
    <w:p>
      <w:pPr>
        <w:spacing w:after="0" w:line="95" w:lineRule="exact"/>
        <w:rPr>
          <w:sz w:val="20"/>
          <w:szCs w:val="20"/>
          <w:color w:val="auto"/>
        </w:rPr>
      </w:pPr>
    </w:p>
    <w:p>
      <w:pPr>
        <w:ind w:right="660"/>
        <w:spacing w:after="0" w:line="260" w:lineRule="auto"/>
        <w:rPr>
          <w:sz w:val="20"/>
          <w:szCs w:val="20"/>
          <w:color w:val="auto"/>
        </w:rPr>
      </w:pPr>
      <w:r>
        <w:rPr>
          <w:rFonts w:ascii="Arial" w:cs="Arial" w:eastAsia="Arial" w:hAnsi="Arial"/>
          <w:sz w:val="16"/>
          <w:szCs w:val="16"/>
          <w:color w:val="auto"/>
        </w:rPr>
        <w:t>Adjusted EBITDA represents EBITDA as further adjusted for share-based compensation, non-recurring legal fees, change in fair value of contingent consideration liability, and severance costs. Adjusted EBITDA margin represents Adjusted EBITDA divided by net revenues.</w:t>
      </w:r>
    </w:p>
    <w:p>
      <w:pPr>
        <w:spacing w:after="0" w:line="87"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in this press release.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99"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The non-GAAP financial measures are not meant to be considered as indicators of performance in isolation from or as a substitute for net income (loss) prepared in accordance with GAAP, and should be read only in conjunction with financial information presented on a GAAP basis. Reconciliations of each of EBITDA and Adjusted EBITDA to its most directly comparable GAAP financial measure, net income (loss), are presented in the tables below in this press release. We encourage you to review the reconciliations in conjunction with the presentation of the non-GAAP financial measures for each of the periods presented. In future periods, we may exclude similar items, may incur income and expenses similar to these excluded items and include other expenses, costs and non-recurring items.</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877" w:right="339" w:bottom="1440" w:gutter="0" w:footer="0" w:header="0"/>
        </w:sectPr>
      </w:pPr>
    </w:p>
    <w:bookmarkStart w:id="6" w:name="page7"/>
    <w:bookmarkEnd w:id="6"/>
    <w:p>
      <w:pPr>
        <w:ind w:right="60"/>
        <w:spacing w:after="0" w:line="260" w:lineRule="auto"/>
        <w:rPr>
          <w:sz w:val="20"/>
          <w:szCs w:val="20"/>
          <w:color w:val="auto"/>
        </w:rPr>
      </w:pPr>
      <w:r>
        <w:rPr>
          <w:rFonts w:ascii="Arial" w:cs="Arial" w:eastAsia="Arial" w:hAnsi="Arial"/>
          <w:sz w:val="16"/>
          <w:szCs w:val="16"/>
          <w:color w:val="auto"/>
        </w:rPr>
        <w:t>Management has provided its outlook regarding Adjusted EBITDA, which is a non-GAAP financial measure and excludes certain charges. Reconciliations of Adjusted EBITDA to its most directly comparable GAAP financial measure, net income (loss), is presented in the table below in this press release.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Glossary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“Approved Submissions” </w:t>
      </w:r>
      <w:r>
        <w:rPr>
          <w:rFonts w:ascii="Arial" w:cs="Arial" w:eastAsia="Arial" w:hAnsi="Arial"/>
          <w:sz w:val="16"/>
          <w:szCs w:val="16"/>
          <w:color w:val="auto"/>
        </w:rPr>
        <w:t>refer to Submitted Policies approved by carriers for the identified product during the indicated period.</w:t>
      </w:r>
    </w:p>
    <w:p>
      <w:pPr>
        <w:spacing w:after="0" w:line="113"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represents, as applicable for the period, EBITDA as further adjusted for share-based compensation expense, non-recurring legal fees,</w:t>
      </w:r>
      <w:r>
        <w:rPr>
          <w:rFonts w:ascii="Arial" w:cs="Arial" w:eastAsia="Arial" w:hAnsi="Arial"/>
          <w:sz w:val="16"/>
          <w:szCs w:val="16"/>
          <w:i w:val="1"/>
          <w:iCs w:val="1"/>
          <w:color w:val="auto"/>
        </w:rPr>
        <w:t xml:space="preserve"> </w:t>
      </w:r>
      <w:r>
        <w:rPr>
          <w:rFonts w:ascii="Arial" w:cs="Arial" w:eastAsia="Arial" w:hAnsi="Arial"/>
          <w:sz w:val="16"/>
          <w:szCs w:val="16"/>
          <w:color w:val="auto"/>
        </w:rPr>
        <w:t>change in fair value of contingent consideration liability, and severance costs.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“Adjusted EBITDA margin” </w:t>
      </w:r>
      <w:r>
        <w:rPr>
          <w:rFonts w:ascii="Arial" w:cs="Arial" w:eastAsia="Arial" w:hAnsi="Arial"/>
          <w:sz w:val="16"/>
          <w:szCs w:val="16"/>
          <w:color w:val="auto"/>
        </w:rPr>
        <w:t>refers to Adjusted EBITDA divided by net revenues.</w:t>
      </w:r>
    </w:p>
    <w:p>
      <w:pPr>
        <w:spacing w:after="0" w:line="113"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i w:val="1"/>
          <w:iCs w:val="1"/>
          <w:color w:val="auto"/>
        </w:rPr>
        <w:t xml:space="preserve">“LTV Per Approved Submission” </w:t>
      </w:r>
      <w:r>
        <w:rPr>
          <w:rFonts w:ascii="Arial" w:cs="Arial" w:eastAsia="Arial" w:hAnsi="Arial"/>
          <w:sz w:val="16"/>
          <w:szCs w:val="16"/>
          <w:color w:val="auto"/>
        </w:rPr>
        <w:t>refers to the Lifetime Value of Commissions per Approved Submission, which we define as (i) aggregate commissions</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to be collected over the estimated life of all commissionable Approved Submissions for the relevant period based on multiple factors, including but not limited to, contracted commission rates, carrier mix and expected policy persistency with applied constraints, excluding revenue adjustments recorded in the period, but relating to performance obligations satisfied in prior periods, divided by (ii) the number of commissionable Approved Submissions for such period.</w:t>
      </w:r>
    </w:p>
    <w:p>
      <w:pPr>
        <w:spacing w:after="0" w:line="76" w:lineRule="exact"/>
        <w:rPr>
          <w:sz w:val="20"/>
          <w:szCs w:val="20"/>
          <w:color w:val="auto"/>
        </w:rPr>
      </w:pPr>
    </w:p>
    <w:p>
      <w:pPr>
        <w:ind w:right="320"/>
        <w:spacing w:after="0" w:line="281" w:lineRule="auto"/>
        <w:rPr>
          <w:sz w:val="20"/>
          <w:szCs w:val="20"/>
          <w:color w:val="auto"/>
        </w:rPr>
      </w:pPr>
      <w:r>
        <w:rPr>
          <w:rFonts w:ascii="Arial" w:cs="Arial" w:eastAsia="Arial" w:hAnsi="Arial"/>
          <w:sz w:val="16"/>
          <w:szCs w:val="16"/>
          <w:i w:val="1"/>
          <w:iCs w:val="1"/>
          <w:color w:val="auto"/>
        </w:rPr>
        <w:t xml:space="preserve">“Revenue Per Submission” </w:t>
      </w:r>
      <w:r>
        <w:rPr>
          <w:rFonts w:ascii="Arial" w:cs="Arial" w:eastAsia="Arial" w:hAnsi="Arial"/>
          <w:sz w:val="16"/>
          <w:szCs w:val="16"/>
          <w:color w:val="auto"/>
        </w:rPr>
        <w:t>refers to the total net revenues per Submitted Policy, which we define as (i) total net revenue, excluding revenue adjustments</w:t>
      </w:r>
      <w:r>
        <w:rPr>
          <w:rFonts w:ascii="Arial" w:cs="Arial" w:eastAsia="Arial" w:hAnsi="Arial"/>
          <w:sz w:val="16"/>
          <w:szCs w:val="16"/>
          <w:i w:val="1"/>
          <w:iCs w:val="1"/>
          <w:color w:val="auto"/>
        </w:rPr>
        <w:t xml:space="preserve"> </w:t>
      </w:r>
      <w:r>
        <w:rPr>
          <w:rFonts w:ascii="Arial" w:cs="Arial" w:eastAsia="Arial" w:hAnsi="Arial"/>
          <w:sz w:val="16"/>
          <w:szCs w:val="16"/>
          <w:color w:val="auto"/>
        </w:rPr>
        <w:t>recorded in the period, but relating to performance obligations satisfied in prior periods, divided by (ii) the number of Submitted Policies for such period.</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“Submitted Policies” </w:t>
      </w:r>
      <w:r>
        <w:rPr>
          <w:rFonts w:ascii="Arial" w:cs="Arial" w:eastAsia="Arial" w:hAnsi="Arial"/>
          <w:sz w:val="16"/>
          <w:szCs w:val="16"/>
          <w:color w:val="auto"/>
        </w:rPr>
        <w:t>refer to completed applications that, with respect to each such application, the consumer has authorized us to submit to the carrier.</w:t>
      </w: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897"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The following tables set forth the components of our results of operations for the periods indicated (unaudited):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5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tcPr>
          <w:p>
            <w:pPr>
              <w:jc w:val="right"/>
              <w:ind w:right="37"/>
              <w:spacing w:after="0"/>
              <w:rPr>
                <w:sz w:val="20"/>
                <w:szCs w:val="20"/>
                <w:color w:val="auto"/>
              </w:rPr>
            </w:pPr>
            <w:r>
              <w:rPr>
                <w:rFonts w:ascii="Arial" w:cs="Arial" w:eastAsia="Arial" w:hAnsi="Arial"/>
                <w:sz w:val="13"/>
                <w:szCs w:val="13"/>
                <w:b w:val="1"/>
                <w:bCs w:val="1"/>
                <w:color w:val="auto"/>
                <w:w w:val="95"/>
              </w:rPr>
              <w:t>Three months ended Mar. 31, 2021</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tcPr>
          <w:p>
            <w:pPr>
              <w:jc w:val="right"/>
              <w:ind w:right="37"/>
              <w:spacing w:after="0"/>
              <w:rPr>
                <w:sz w:val="20"/>
                <w:szCs w:val="20"/>
                <w:color w:val="auto"/>
              </w:rPr>
            </w:pPr>
            <w:r>
              <w:rPr>
                <w:rFonts w:ascii="Arial" w:cs="Arial" w:eastAsia="Arial" w:hAnsi="Arial"/>
                <w:sz w:val="13"/>
                <w:szCs w:val="13"/>
                <w:b w:val="1"/>
                <w:bCs w:val="1"/>
                <w:color w:val="auto"/>
                <w:w w:val="95"/>
              </w:rPr>
              <w:t>Three months ended Mar. 31, 2020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500" w:type="dxa"/>
            <w:vAlign w:val="bottom"/>
            <w:vMerge w:val="restart"/>
          </w:tcPr>
          <w:p>
            <w:pPr>
              <w:ind w:left="20"/>
              <w:spacing w:after="0"/>
              <w:rPr>
                <w:sz w:val="20"/>
                <w:szCs w:val="20"/>
                <w:color w:val="auto"/>
              </w:rPr>
            </w:pPr>
            <w:r>
              <w:rPr>
                <w:rFonts w:ascii="Arial" w:cs="Arial" w:eastAsia="Arial" w:hAnsi="Arial"/>
                <w:sz w:val="13"/>
                <w:szCs w:val="13"/>
                <w:color w:val="auto"/>
              </w:rPr>
              <w:t>(in thousands, except percentages and per share amounts)</w:t>
            </w:r>
          </w:p>
        </w:tc>
        <w:tc>
          <w:tcPr>
            <w:tcW w:w="100" w:type="dxa"/>
            <w:vAlign w:val="bottom"/>
          </w:tcPr>
          <w:p>
            <w:pPr>
              <w:spacing w:after="0"/>
              <w:rPr>
                <w:sz w:val="11"/>
                <w:szCs w:val="11"/>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3"/>
                <w:szCs w:val="13"/>
                <w:b w:val="1"/>
                <w:bCs w:val="1"/>
                <w:color w:val="auto"/>
              </w:rPr>
              <w:t>Dollars</w:t>
            </w:r>
          </w:p>
        </w:tc>
        <w:tc>
          <w:tcPr>
            <w:tcW w:w="98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auto"/>
              </w:rPr>
              <w:t>% of Net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3"/>
                <w:szCs w:val="13"/>
                <w:b w:val="1"/>
                <w:bCs w:val="1"/>
                <w:color w:val="auto"/>
              </w:rPr>
              <w:t>Dollars</w:t>
            </w:r>
          </w:p>
        </w:tc>
        <w:tc>
          <w:tcPr>
            <w:tcW w:w="10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6"/>
              </w:rPr>
              <w:t>% of Net</w:t>
            </w:r>
          </w:p>
        </w:tc>
        <w:tc>
          <w:tcPr>
            <w:tcW w:w="180" w:type="dxa"/>
            <w:vAlign w:val="bottom"/>
          </w:tcPr>
          <w:p>
            <w:pPr>
              <w:spacing w:after="0"/>
              <w:rPr>
                <w:sz w:val="11"/>
                <w:szCs w:val="11"/>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 Change</w:t>
            </w:r>
          </w:p>
        </w:tc>
        <w:tc>
          <w:tcPr>
            <w:tcW w:w="94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72"/>
        </w:trPr>
        <w:tc>
          <w:tcPr>
            <w:tcW w:w="4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980" w:type="dxa"/>
            <w:vAlign w:val="bottom"/>
          </w:tcPr>
          <w:p>
            <w:pPr>
              <w:jc w:val="right"/>
              <w:ind w:right="137"/>
              <w:spacing w:after="0"/>
              <w:rPr>
                <w:sz w:val="20"/>
                <w:szCs w:val="20"/>
                <w:color w:val="auto"/>
              </w:rPr>
            </w:pPr>
            <w:r>
              <w:rPr>
                <w:rFonts w:ascii="Arial" w:cs="Arial" w:eastAsia="Arial" w:hAnsi="Arial"/>
                <w:sz w:val="13"/>
                <w:szCs w:val="13"/>
                <w:b w:val="1"/>
                <w:bCs w:val="1"/>
                <w:color w:val="auto"/>
              </w:rPr>
              <w:t>Revenues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Revenues</w:t>
            </w:r>
          </w:p>
        </w:tc>
        <w:tc>
          <w:tcPr>
            <w:tcW w:w="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50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i w:val="1"/>
                <w:iCs w:val="1"/>
                <w:color w:val="auto"/>
              </w:rPr>
              <w:t>Net revenues:</w:t>
            </w:r>
          </w:p>
        </w:tc>
        <w:tc>
          <w:tcPr>
            <w:tcW w:w="1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500" w:type="dxa"/>
            <w:vAlign w:val="bottom"/>
          </w:tcPr>
          <w:p>
            <w:pPr>
              <w:ind w:left="240"/>
              <w:spacing w:after="0"/>
              <w:rPr>
                <w:sz w:val="20"/>
                <w:szCs w:val="20"/>
                <w:color w:val="auto"/>
              </w:rPr>
            </w:pPr>
            <w:r>
              <w:rPr>
                <w:rFonts w:ascii="Arial" w:cs="Arial" w:eastAsia="Arial" w:hAnsi="Arial"/>
                <w:sz w:val="13"/>
                <w:szCs w:val="13"/>
                <w:color w:val="auto"/>
              </w:rPr>
              <w:t>Commission</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97"/>
              <w:spacing w:after="0"/>
              <w:rPr>
                <w:sz w:val="20"/>
                <w:szCs w:val="20"/>
                <w:color w:val="auto"/>
              </w:rPr>
            </w:pPr>
            <w:r>
              <w:rPr>
                <w:rFonts w:ascii="Arial" w:cs="Arial" w:eastAsia="Arial" w:hAnsi="Arial"/>
                <w:sz w:val="13"/>
                <w:szCs w:val="13"/>
                <w:color w:val="auto"/>
              </w:rPr>
              <w:t>173,981</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85.2 %</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97"/>
              <w:spacing w:after="0"/>
              <w:rPr>
                <w:sz w:val="20"/>
                <w:szCs w:val="20"/>
                <w:color w:val="auto"/>
              </w:rPr>
            </w:pPr>
            <w:r>
              <w:rPr>
                <w:rFonts w:ascii="Arial" w:cs="Arial" w:eastAsia="Arial" w:hAnsi="Arial"/>
                <w:sz w:val="13"/>
                <w:szCs w:val="13"/>
                <w:color w:val="auto"/>
              </w:rPr>
              <w:t>112,510</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79.8 %</w:t>
            </w:r>
          </w:p>
        </w:tc>
        <w:tc>
          <w:tcPr>
            <w:tcW w:w="8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61,471</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54.6 %</w:t>
            </w:r>
          </w:p>
        </w:tc>
        <w:tc>
          <w:tcPr>
            <w:tcW w:w="0" w:type="dxa"/>
            <w:vAlign w:val="bottom"/>
          </w:tcPr>
          <w:p>
            <w:pPr>
              <w:spacing w:after="0"/>
              <w:rPr>
                <w:sz w:val="1"/>
                <w:szCs w:val="1"/>
                <w:color w:val="auto"/>
              </w:rPr>
            </w:pPr>
          </w:p>
        </w:tc>
      </w:tr>
      <w:tr>
        <w:trPr>
          <w:trHeight w:val="183"/>
        </w:trPr>
        <w:tc>
          <w:tcPr>
            <w:tcW w:w="4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Enterprise</w:t>
            </w:r>
          </w:p>
        </w:tc>
        <w:tc>
          <w:tcPr>
            <w:tcW w:w="1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30,198</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14.8 %</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28,500</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20.2 %</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1,698</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6.0 %</w:t>
            </w:r>
          </w:p>
        </w:tc>
        <w:tc>
          <w:tcPr>
            <w:tcW w:w="0" w:type="dxa"/>
            <w:vAlign w:val="bottom"/>
          </w:tcPr>
          <w:p>
            <w:pPr>
              <w:spacing w:after="0"/>
              <w:rPr>
                <w:sz w:val="1"/>
                <w:szCs w:val="1"/>
                <w:color w:val="auto"/>
              </w:rPr>
            </w:pPr>
          </w:p>
        </w:tc>
      </w:tr>
      <w:tr>
        <w:trPr>
          <w:trHeight w:val="163"/>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revenues</w:t>
            </w: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204,179</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141,010</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63,169</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44.8 %</w:t>
            </w:r>
          </w:p>
        </w:tc>
        <w:tc>
          <w:tcPr>
            <w:tcW w:w="0" w:type="dxa"/>
            <w:vAlign w:val="bottom"/>
          </w:tcPr>
          <w:p>
            <w:pPr>
              <w:spacing w:after="0"/>
              <w:rPr>
                <w:sz w:val="1"/>
                <w:szCs w:val="1"/>
                <w:color w:val="auto"/>
              </w:rPr>
            </w:pPr>
          </w:p>
        </w:tc>
      </w:tr>
      <w:tr>
        <w:trPr>
          <w:trHeight w:val="162"/>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Operating expenses:</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00" w:type="dxa"/>
            <w:vAlign w:val="bottom"/>
          </w:tcPr>
          <w:p>
            <w:pPr>
              <w:ind w:left="240"/>
              <w:spacing w:after="0"/>
              <w:rPr>
                <w:sz w:val="20"/>
                <w:szCs w:val="20"/>
                <w:color w:val="auto"/>
              </w:rPr>
            </w:pPr>
            <w:r>
              <w:rPr>
                <w:rFonts w:ascii="Arial" w:cs="Arial" w:eastAsia="Arial" w:hAnsi="Arial"/>
                <w:sz w:val="13"/>
                <w:szCs w:val="13"/>
                <w:color w:val="auto"/>
              </w:rPr>
              <w:t>Cost of revenue</w:t>
            </w:r>
          </w:p>
        </w:tc>
        <w:tc>
          <w:tcPr>
            <w:tcW w:w="10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3"/>
                <w:szCs w:val="13"/>
                <w:color w:val="auto"/>
              </w:rPr>
              <w:t>48,375</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23.7 %</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3"/>
                <w:szCs w:val="13"/>
                <w:color w:val="auto"/>
              </w:rPr>
              <w:t>42,134</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29.9 %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6,241</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14.8 %</w:t>
            </w:r>
          </w:p>
        </w:tc>
        <w:tc>
          <w:tcPr>
            <w:tcW w:w="0" w:type="dxa"/>
            <w:vAlign w:val="bottom"/>
          </w:tcPr>
          <w:p>
            <w:pPr>
              <w:spacing w:after="0"/>
              <w:rPr>
                <w:sz w:val="1"/>
                <w:szCs w:val="1"/>
                <w:color w:val="auto"/>
              </w:rPr>
            </w:pPr>
          </w:p>
        </w:tc>
      </w:tr>
      <w:tr>
        <w:trPr>
          <w:trHeight w:val="184"/>
        </w:trPr>
        <w:tc>
          <w:tcPr>
            <w:tcW w:w="4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Marketing and advertising</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54,484</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26.7 %</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26,073</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28,411</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109.0 %</w:t>
            </w:r>
          </w:p>
        </w:tc>
        <w:tc>
          <w:tcPr>
            <w:tcW w:w="0" w:type="dxa"/>
            <w:vAlign w:val="bottom"/>
          </w:tcPr>
          <w:p>
            <w:pPr>
              <w:spacing w:after="0"/>
              <w:rPr>
                <w:sz w:val="1"/>
                <w:szCs w:val="1"/>
                <w:color w:val="auto"/>
              </w:rPr>
            </w:pPr>
          </w:p>
        </w:tc>
      </w:tr>
      <w:tr>
        <w:trPr>
          <w:trHeight w:val="168"/>
        </w:trPr>
        <w:tc>
          <w:tcPr>
            <w:tcW w:w="4500" w:type="dxa"/>
            <w:vAlign w:val="bottom"/>
          </w:tcPr>
          <w:p>
            <w:pPr>
              <w:ind w:left="240"/>
              <w:spacing w:after="0"/>
              <w:rPr>
                <w:sz w:val="20"/>
                <w:szCs w:val="20"/>
                <w:color w:val="auto"/>
              </w:rPr>
            </w:pPr>
            <w:r>
              <w:rPr>
                <w:rFonts w:ascii="Arial" w:cs="Arial" w:eastAsia="Arial" w:hAnsi="Arial"/>
                <w:sz w:val="13"/>
                <w:szCs w:val="13"/>
                <w:color w:val="auto"/>
              </w:rPr>
              <w:t>Customer care and enrollment</w:t>
            </w:r>
          </w:p>
        </w:tc>
        <w:tc>
          <w:tcPr>
            <w:tcW w:w="10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3"/>
                <w:szCs w:val="13"/>
                <w:color w:val="auto"/>
              </w:rPr>
              <w:t>47,094</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23.1 %</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3"/>
                <w:szCs w:val="13"/>
                <w:color w:val="auto"/>
              </w:rPr>
              <w:t>23,978</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17.0 %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23,116</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96.4 %</w:t>
            </w:r>
          </w:p>
        </w:tc>
        <w:tc>
          <w:tcPr>
            <w:tcW w:w="0" w:type="dxa"/>
            <w:vAlign w:val="bottom"/>
          </w:tcPr>
          <w:p>
            <w:pPr>
              <w:spacing w:after="0"/>
              <w:rPr>
                <w:sz w:val="1"/>
                <w:szCs w:val="1"/>
                <w:color w:val="auto"/>
              </w:rPr>
            </w:pPr>
          </w:p>
        </w:tc>
      </w:tr>
      <w:tr>
        <w:trPr>
          <w:trHeight w:val="183"/>
        </w:trPr>
        <w:tc>
          <w:tcPr>
            <w:tcW w:w="4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Technology</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9,617</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4.7 %</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4,593</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5,024</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109.4 %</w:t>
            </w:r>
          </w:p>
        </w:tc>
        <w:tc>
          <w:tcPr>
            <w:tcW w:w="0" w:type="dxa"/>
            <w:vAlign w:val="bottom"/>
          </w:tcPr>
          <w:p>
            <w:pPr>
              <w:spacing w:after="0"/>
              <w:rPr>
                <w:sz w:val="1"/>
                <w:szCs w:val="1"/>
                <w:color w:val="auto"/>
              </w:rPr>
            </w:pPr>
          </w:p>
        </w:tc>
      </w:tr>
      <w:tr>
        <w:trPr>
          <w:trHeight w:val="168"/>
        </w:trPr>
        <w:tc>
          <w:tcPr>
            <w:tcW w:w="4500" w:type="dxa"/>
            <w:vAlign w:val="bottom"/>
          </w:tcPr>
          <w:p>
            <w:pPr>
              <w:ind w:left="240"/>
              <w:spacing w:after="0"/>
              <w:rPr>
                <w:sz w:val="20"/>
                <w:szCs w:val="20"/>
                <w:color w:val="auto"/>
              </w:rPr>
            </w:pPr>
            <w:r>
              <w:rPr>
                <w:rFonts w:ascii="Arial" w:cs="Arial" w:eastAsia="Arial" w:hAnsi="Arial"/>
                <w:sz w:val="13"/>
                <w:szCs w:val="13"/>
                <w:color w:val="auto"/>
              </w:rPr>
              <w:t>General and administrative</w:t>
            </w:r>
          </w:p>
        </w:tc>
        <w:tc>
          <w:tcPr>
            <w:tcW w:w="10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3"/>
                <w:szCs w:val="13"/>
                <w:color w:val="auto"/>
              </w:rPr>
              <w:t>19,693</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9.6 %</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3"/>
                <w:szCs w:val="13"/>
                <w:color w:val="auto"/>
              </w:rPr>
              <w:t>10,491</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7.4 %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9,202</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87.7 %</w:t>
            </w:r>
          </w:p>
        </w:tc>
        <w:tc>
          <w:tcPr>
            <w:tcW w:w="0" w:type="dxa"/>
            <w:vAlign w:val="bottom"/>
          </w:tcPr>
          <w:p>
            <w:pPr>
              <w:spacing w:after="0"/>
              <w:rPr>
                <w:sz w:val="1"/>
                <w:szCs w:val="1"/>
                <w:color w:val="auto"/>
              </w:rPr>
            </w:pPr>
          </w:p>
        </w:tc>
      </w:tr>
      <w:tr>
        <w:trPr>
          <w:trHeight w:val="183"/>
        </w:trPr>
        <w:tc>
          <w:tcPr>
            <w:tcW w:w="4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Change in fair value of contingent consideration liability</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4,400</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(4,400)</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69"/>
        </w:trPr>
        <w:tc>
          <w:tcPr>
            <w:tcW w:w="4500" w:type="dxa"/>
            <w:vAlign w:val="bottom"/>
          </w:tcPr>
          <w:p>
            <w:pPr>
              <w:ind w:left="240"/>
              <w:spacing w:after="0"/>
              <w:rPr>
                <w:sz w:val="20"/>
                <w:szCs w:val="20"/>
                <w:color w:val="auto"/>
              </w:rPr>
            </w:pPr>
            <w:r>
              <w:rPr>
                <w:rFonts w:ascii="Arial" w:cs="Arial" w:eastAsia="Arial" w:hAnsi="Arial"/>
                <w:sz w:val="13"/>
                <w:szCs w:val="13"/>
                <w:color w:val="auto"/>
              </w:rPr>
              <w:t>Amortization of intangible assets</w:t>
            </w:r>
          </w:p>
        </w:tc>
        <w:tc>
          <w:tcPr>
            <w:tcW w:w="10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3"/>
                <w:szCs w:val="13"/>
                <w:color w:val="auto"/>
              </w:rPr>
              <w:t>23,514</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11.5 %</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3"/>
                <w:szCs w:val="13"/>
                <w:color w:val="auto"/>
              </w:rPr>
              <w:t>23,514</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16.7 %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75"/>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202,777</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99.3 %</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135,183</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95.9 %</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67,594</w:t>
            </w:r>
          </w:p>
        </w:tc>
        <w:tc>
          <w:tcPr>
            <w:tcW w:w="1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50.0 %</w:t>
            </w:r>
          </w:p>
        </w:tc>
        <w:tc>
          <w:tcPr>
            <w:tcW w:w="0" w:type="dxa"/>
            <w:vAlign w:val="bottom"/>
          </w:tcPr>
          <w:p>
            <w:pPr>
              <w:spacing w:after="0"/>
              <w:rPr>
                <w:sz w:val="1"/>
                <w:szCs w:val="1"/>
                <w:color w:val="auto"/>
              </w:rPr>
            </w:pPr>
          </w:p>
        </w:tc>
      </w:tr>
      <w:tr>
        <w:trPr>
          <w:trHeight w:val="161"/>
        </w:trPr>
        <w:tc>
          <w:tcPr>
            <w:tcW w:w="4500" w:type="dxa"/>
            <w:vAlign w:val="bottom"/>
          </w:tcPr>
          <w:p>
            <w:pPr>
              <w:ind w:left="20"/>
              <w:spacing w:after="0"/>
              <w:rPr>
                <w:sz w:val="20"/>
                <w:szCs w:val="20"/>
                <w:color w:val="auto"/>
              </w:rPr>
            </w:pPr>
            <w:r>
              <w:rPr>
                <w:rFonts w:ascii="Arial" w:cs="Arial" w:eastAsia="Arial" w:hAnsi="Arial"/>
                <w:sz w:val="13"/>
                <w:szCs w:val="13"/>
                <w:color w:val="auto"/>
              </w:rPr>
              <w:t>Income from operations</w:t>
            </w:r>
          </w:p>
        </w:tc>
        <w:tc>
          <w:tcPr>
            <w:tcW w:w="10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3"/>
                <w:szCs w:val="13"/>
                <w:color w:val="auto"/>
              </w:rPr>
              <w:t>1,402</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0.7 %</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3"/>
                <w:szCs w:val="13"/>
                <w:color w:val="auto"/>
              </w:rPr>
              <w:t>5,827</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4.1 %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(4,425)</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(75.9)%</w:t>
            </w:r>
          </w:p>
        </w:tc>
        <w:tc>
          <w:tcPr>
            <w:tcW w:w="0" w:type="dxa"/>
            <w:vAlign w:val="bottom"/>
          </w:tcPr>
          <w:p>
            <w:pPr>
              <w:spacing w:after="0"/>
              <w:rPr>
                <w:sz w:val="1"/>
                <w:szCs w:val="1"/>
                <w:color w:val="auto"/>
              </w:rPr>
            </w:pPr>
          </w:p>
        </w:tc>
      </w:tr>
      <w:tr>
        <w:trPr>
          <w:trHeight w:val="183"/>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expense</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8,688</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4.3 %</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6,756</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1,932</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28.6 %</w:t>
            </w:r>
          </w:p>
        </w:tc>
        <w:tc>
          <w:tcPr>
            <w:tcW w:w="0" w:type="dxa"/>
            <w:vAlign w:val="bottom"/>
          </w:tcPr>
          <w:p>
            <w:pPr>
              <w:spacing w:after="0"/>
              <w:rPr>
                <w:sz w:val="1"/>
                <w:szCs w:val="1"/>
                <w:color w:val="auto"/>
              </w:rPr>
            </w:pPr>
          </w:p>
        </w:tc>
      </w:tr>
      <w:tr>
        <w:trPr>
          <w:trHeight w:val="169"/>
        </w:trPr>
        <w:tc>
          <w:tcPr>
            <w:tcW w:w="4500" w:type="dxa"/>
            <w:vAlign w:val="bottom"/>
          </w:tcPr>
          <w:p>
            <w:pPr>
              <w:ind w:left="20"/>
              <w:spacing w:after="0"/>
              <w:rPr>
                <w:sz w:val="20"/>
                <w:szCs w:val="20"/>
                <w:color w:val="auto"/>
              </w:rPr>
            </w:pPr>
            <w:r>
              <w:rPr>
                <w:rFonts w:ascii="Arial" w:cs="Arial" w:eastAsia="Arial" w:hAnsi="Arial"/>
                <w:sz w:val="13"/>
                <w:szCs w:val="13"/>
                <w:color w:val="auto"/>
              </w:rPr>
              <w:t>Other (income) expense</w:t>
            </w:r>
          </w:p>
        </w:tc>
        <w:tc>
          <w:tcPr>
            <w:tcW w:w="10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 %</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 %</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30.0 %</w:t>
            </w:r>
          </w:p>
        </w:tc>
        <w:tc>
          <w:tcPr>
            <w:tcW w:w="0" w:type="dxa"/>
            <w:vAlign w:val="bottom"/>
          </w:tcPr>
          <w:p>
            <w:pPr>
              <w:spacing w:after="0"/>
              <w:rPr>
                <w:sz w:val="1"/>
                <w:szCs w:val="1"/>
                <w:color w:val="auto"/>
              </w:rPr>
            </w:pPr>
          </w:p>
        </w:tc>
      </w:tr>
      <w:tr>
        <w:trPr>
          <w:trHeight w:val="175"/>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Income (loss) before income taxes</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(7,299)</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(939)</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(0.7)%</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(6,360)</w:t>
            </w:r>
          </w:p>
        </w:tc>
        <w:tc>
          <w:tcPr>
            <w:tcW w:w="1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63"/>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expense (benefit)</w:t>
            </w: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(31)</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 %</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 %</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76"/>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(7,268)</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(937)</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(6,331)</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63"/>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income (loss) attributable to noncontrolling interests</w:t>
            </w:r>
          </w:p>
        </w:tc>
        <w:tc>
          <w:tcPr>
            <w:tcW w:w="1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(5,178)</w:t>
            </w:r>
          </w:p>
        </w:tc>
        <w:tc>
          <w:tcPr>
            <w:tcW w:w="100" w:type="dxa"/>
            <w:vAlign w:val="bottom"/>
            <w:tcBorders>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060" w:type="dxa"/>
            <w:vAlign w:val="bottom"/>
            <w:tcBorders>
              <w:top w:val="single" w:sz="8" w:color="auto"/>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80" w:type="dxa"/>
            <w:vAlign w:val="bottom"/>
            <w:tcBorders>
              <w:top w:val="single" w:sz="8" w:color="auto"/>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CCEEFF"/>
            </w:tcBorders>
          </w:tcPr>
          <w:p>
            <w:pPr>
              <w:spacing w:after="0"/>
              <w:rPr>
                <w:sz w:val="14"/>
                <w:szCs w:val="14"/>
                <w:color w:val="auto"/>
              </w:rPr>
            </w:pPr>
          </w:p>
        </w:tc>
        <w:tc>
          <w:tcPr>
            <w:tcW w:w="880" w:type="dxa"/>
            <w:vAlign w:val="bottom"/>
            <w:tcBorders>
              <w:top w:val="single" w:sz="8" w:color="auto"/>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40" w:type="dxa"/>
            <w:vAlign w:val="bottom"/>
            <w:tcBorders>
              <w:top w:val="single" w:sz="8" w:color="auto"/>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income (loss) attributable to GoHealth, Inc.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(2,090)</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i w:val="1"/>
                <w:iCs w:val="1"/>
                <w:color w:val="auto"/>
              </w:rPr>
              <w:t>Net income (loss) per share:</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 per share of common stock —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(0.02)</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500" w:type="dxa"/>
            <w:vAlign w:val="bottom"/>
          </w:tcPr>
          <w:p>
            <w:pPr>
              <w:ind w:left="20"/>
              <w:spacing w:after="0"/>
              <w:rPr>
                <w:sz w:val="20"/>
                <w:szCs w:val="20"/>
                <w:color w:val="auto"/>
              </w:rPr>
            </w:pPr>
            <w:r>
              <w:rPr>
                <w:rFonts w:ascii="Arial" w:cs="Arial" w:eastAsia="Arial" w:hAnsi="Arial"/>
                <w:sz w:val="13"/>
                <w:szCs w:val="13"/>
                <w:color w:val="auto"/>
              </w:rPr>
              <w:t>Weighted-average shares of common stock outstanding — basic and diluted</w:t>
            </w:r>
          </w:p>
        </w:tc>
        <w:tc>
          <w:tcPr>
            <w:tcW w:w="10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3"/>
                <w:szCs w:val="13"/>
                <w:color w:val="auto"/>
              </w:rPr>
              <w:t>92,343</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50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Non-GAAP financial measures:</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500" w:type="dxa"/>
            <w:vAlign w:val="bottom"/>
          </w:tcPr>
          <w:p>
            <w:pPr>
              <w:ind w:left="240"/>
              <w:spacing w:after="0"/>
              <w:rPr>
                <w:sz w:val="20"/>
                <w:szCs w:val="20"/>
                <w:color w:val="auto"/>
              </w:rPr>
            </w:pPr>
            <w:r>
              <w:rPr>
                <w:rFonts w:ascii="Arial" w:cs="Arial" w:eastAsia="Arial" w:hAnsi="Arial"/>
                <w:sz w:val="13"/>
                <w:szCs w:val="13"/>
                <w:color w:val="auto"/>
              </w:rPr>
              <w:t>EBITDA</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97"/>
              <w:spacing w:after="0"/>
              <w:rPr>
                <w:sz w:val="20"/>
                <w:szCs w:val="20"/>
                <w:color w:val="auto"/>
              </w:rPr>
            </w:pPr>
            <w:r>
              <w:rPr>
                <w:rFonts w:ascii="Arial" w:cs="Arial" w:eastAsia="Arial" w:hAnsi="Arial"/>
                <w:sz w:val="13"/>
                <w:szCs w:val="13"/>
                <w:color w:val="auto"/>
              </w:rPr>
              <w:t>26,756</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97"/>
              <w:spacing w:after="0"/>
              <w:rPr>
                <w:sz w:val="20"/>
                <w:szCs w:val="20"/>
                <w:color w:val="auto"/>
              </w:rPr>
            </w:pPr>
            <w:r>
              <w:rPr>
                <w:rFonts w:ascii="Arial" w:cs="Arial" w:eastAsia="Arial" w:hAnsi="Arial"/>
                <w:sz w:val="13"/>
                <w:szCs w:val="13"/>
                <w:color w:val="auto"/>
              </w:rPr>
              <w:t>29,964</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Adjusted EBITDA</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32,048</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34,920</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500" w:type="dxa"/>
            <w:vAlign w:val="bottom"/>
          </w:tcPr>
          <w:p>
            <w:pPr>
              <w:ind w:left="240"/>
              <w:spacing w:after="0"/>
              <w:rPr>
                <w:sz w:val="20"/>
                <w:szCs w:val="20"/>
                <w:color w:val="auto"/>
              </w:rPr>
            </w:pPr>
            <w:r>
              <w:rPr>
                <w:rFonts w:ascii="Arial" w:cs="Arial" w:eastAsia="Arial" w:hAnsi="Arial"/>
                <w:sz w:val="13"/>
                <w:szCs w:val="13"/>
                <w:color w:val="auto"/>
              </w:rPr>
              <w:t>Adjusted EBITDA margin</w:t>
            </w: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15.7 %</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24.8 %</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rPr>
          <w:sz w:val="20"/>
          <w:szCs w:val="20"/>
          <w:color w:val="auto"/>
        </w:rPr>
      </w:pPr>
      <w:r>
        <w:rPr>
          <w:rFonts w:ascii="Arial" w:cs="Arial" w:eastAsia="Arial" w:hAnsi="Arial"/>
          <w:sz w:val="13"/>
          <w:szCs w:val="13"/>
          <w:i w:val="1"/>
          <w:iCs w:val="1"/>
          <w:color w:val="auto"/>
        </w:rPr>
        <w:t>NM = Not meaningful</w:t>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789"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The following tables set forth the reconciliations of GAAP net income (loss) to EBITDA and Adjusted EBITDA for the periods indicated (unaudited):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Three months</w:t>
            </w:r>
          </w:p>
        </w:tc>
        <w:tc>
          <w:tcPr>
            <w:tcW w:w="120" w:type="dxa"/>
            <w:vAlign w:val="bottom"/>
          </w:tcPr>
          <w:p>
            <w:pPr>
              <w:spacing w:after="0"/>
              <w:rPr>
                <w:sz w:val="13"/>
                <w:szCs w:val="13"/>
                <w:color w:val="auto"/>
              </w:rPr>
            </w:pPr>
          </w:p>
        </w:tc>
        <w:tc>
          <w:tcPr>
            <w:tcW w:w="1080" w:type="dxa"/>
            <w:vAlign w:val="bottom"/>
          </w:tcPr>
          <w:p>
            <w:pPr>
              <w:jc w:val="center"/>
              <w:ind w:right="57"/>
              <w:spacing w:after="0"/>
              <w:rPr>
                <w:sz w:val="20"/>
                <w:szCs w:val="20"/>
                <w:color w:val="auto"/>
              </w:rPr>
            </w:pPr>
            <w:r>
              <w:rPr>
                <w:rFonts w:ascii="Arial" w:cs="Arial" w:eastAsia="Arial" w:hAnsi="Arial"/>
                <w:sz w:val="13"/>
                <w:szCs w:val="13"/>
                <w:b w:val="1"/>
                <w:bCs w:val="1"/>
                <w:color w:val="auto"/>
                <w:w w:val="97"/>
              </w:rPr>
              <w:t>Three months</w:t>
            </w:r>
          </w:p>
        </w:tc>
        <w:tc>
          <w:tcPr>
            <w:tcW w:w="0" w:type="dxa"/>
            <w:vAlign w:val="bottom"/>
          </w:tcPr>
          <w:p>
            <w:pPr>
              <w:spacing w:after="0"/>
              <w:rPr>
                <w:sz w:val="1"/>
                <w:szCs w:val="1"/>
                <w:color w:val="auto"/>
              </w:rPr>
            </w:pPr>
          </w:p>
        </w:tc>
      </w:tr>
      <w:tr>
        <w:trPr>
          <w:trHeight w:val="121"/>
        </w:trPr>
        <w:tc>
          <w:tcPr>
            <w:tcW w:w="8740" w:type="dxa"/>
            <w:vAlign w:val="bottom"/>
            <w:vMerge w:val="restart"/>
          </w:tcPr>
          <w:p>
            <w:pPr>
              <w:ind w:left="20"/>
              <w:spacing w:after="0"/>
              <w:rPr>
                <w:sz w:val="20"/>
                <w:szCs w:val="20"/>
                <w:color w:val="auto"/>
              </w:rPr>
            </w:pPr>
            <w:r>
              <w:rPr>
                <w:rFonts w:ascii="Arial" w:cs="Arial" w:eastAsia="Arial" w:hAnsi="Arial"/>
                <w:sz w:val="13"/>
                <w:szCs w:val="13"/>
                <w:color w:val="auto"/>
              </w:rPr>
              <w:t>(in thousands)</w:t>
            </w:r>
          </w:p>
        </w:tc>
        <w:tc>
          <w:tcPr>
            <w:tcW w:w="120" w:type="dxa"/>
            <w:vAlign w:val="bottom"/>
          </w:tcPr>
          <w:p>
            <w:pPr>
              <w:spacing w:after="0"/>
              <w:rPr>
                <w:sz w:val="10"/>
                <w:szCs w:val="10"/>
                <w:color w:val="auto"/>
              </w:rPr>
            </w:pPr>
          </w:p>
        </w:tc>
        <w:tc>
          <w:tcPr>
            <w:tcW w:w="11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7"/>
              </w:rPr>
              <w:t>ended Mar. 31,</w:t>
            </w:r>
          </w:p>
        </w:tc>
        <w:tc>
          <w:tcPr>
            <w:tcW w:w="120" w:type="dxa"/>
            <w:vAlign w:val="bottom"/>
          </w:tcPr>
          <w:p>
            <w:pPr>
              <w:spacing w:after="0"/>
              <w:rPr>
                <w:sz w:val="10"/>
                <w:szCs w:val="10"/>
                <w:color w:val="auto"/>
              </w:rPr>
            </w:pPr>
          </w:p>
        </w:tc>
        <w:tc>
          <w:tcPr>
            <w:tcW w:w="108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7"/>
              </w:rPr>
              <w:t>ended Mar. 31,</w:t>
            </w:r>
          </w:p>
        </w:tc>
        <w:tc>
          <w:tcPr>
            <w:tcW w:w="0" w:type="dxa"/>
            <w:vAlign w:val="bottom"/>
          </w:tcPr>
          <w:p>
            <w:pPr>
              <w:spacing w:after="0"/>
              <w:rPr>
                <w:sz w:val="1"/>
                <w:szCs w:val="1"/>
                <w:color w:val="auto"/>
              </w:rPr>
            </w:pPr>
          </w:p>
        </w:tc>
      </w:tr>
      <w:tr>
        <w:trPr>
          <w:trHeight w:val="172"/>
        </w:trPr>
        <w:tc>
          <w:tcPr>
            <w:tcW w:w="874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173"/>
        </w:trPr>
        <w:tc>
          <w:tcPr>
            <w:tcW w:w="8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204,179</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141,010</w:t>
            </w:r>
          </w:p>
        </w:tc>
        <w:tc>
          <w:tcPr>
            <w:tcW w:w="0" w:type="dxa"/>
            <w:vAlign w:val="bottom"/>
          </w:tcPr>
          <w:p>
            <w:pPr>
              <w:spacing w:after="0"/>
              <w:rPr>
                <w:sz w:val="1"/>
                <w:szCs w:val="1"/>
                <w:color w:val="auto"/>
              </w:rPr>
            </w:pPr>
          </w:p>
        </w:tc>
      </w:tr>
      <w:tr>
        <w:trPr>
          <w:trHeight w:val="161"/>
        </w:trPr>
        <w:tc>
          <w:tcPr>
            <w:tcW w:w="874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12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(7,268)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(937)</w:t>
            </w:r>
          </w:p>
        </w:tc>
        <w:tc>
          <w:tcPr>
            <w:tcW w:w="0" w:type="dxa"/>
            <w:vAlign w:val="bottom"/>
          </w:tcPr>
          <w:p>
            <w:pPr>
              <w:spacing w:after="0"/>
              <w:rPr>
                <w:sz w:val="1"/>
                <w:szCs w:val="1"/>
                <w:color w:val="auto"/>
              </w:rPr>
            </w:pPr>
          </w:p>
        </w:tc>
      </w:tr>
      <w:tr>
        <w:trPr>
          <w:trHeight w:val="183"/>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Interest expense</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8,688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6,756</w:t>
            </w:r>
          </w:p>
        </w:tc>
        <w:tc>
          <w:tcPr>
            <w:tcW w:w="0" w:type="dxa"/>
            <w:vAlign w:val="bottom"/>
          </w:tcPr>
          <w:p>
            <w:pPr>
              <w:spacing w:after="0"/>
              <w:rPr>
                <w:sz w:val="1"/>
                <w:szCs w:val="1"/>
                <w:color w:val="auto"/>
              </w:rPr>
            </w:pPr>
          </w:p>
        </w:tc>
      </w:tr>
      <w:tr>
        <w:trPr>
          <w:trHeight w:val="168"/>
        </w:trPr>
        <w:tc>
          <w:tcPr>
            <w:tcW w:w="8740" w:type="dxa"/>
            <w:vAlign w:val="bottom"/>
          </w:tcPr>
          <w:p>
            <w:pPr>
              <w:ind w:left="240"/>
              <w:spacing w:after="0"/>
              <w:rPr>
                <w:sz w:val="20"/>
                <w:szCs w:val="20"/>
                <w:color w:val="auto"/>
              </w:rPr>
            </w:pPr>
            <w:r>
              <w:rPr>
                <w:rFonts w:ascii="Arial" w:cs="Arial" w:eastAsia="Arial" w:hAnsi="Arial"/>
                <w:sz w:val="13"/>
                <w:szCs w:val="13"/>
                <w:color w:val="auto"/>
              </w:rPr>
              <w:t>Income tax expense (benefit)</w:t>
            </w:r>
          </w:p>
        </w:tc>
        <w:tc>
          <w:tcPr>
            <w:tcW w:w="12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83"/>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Depreciation and amortization expense</w:t>
            </w: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25,367</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24,147</w:t>
            </w:r>
          </w:p>
        </w:tc>
        <w:tc>
          <w:tcPr>
            <w:tcW w:w="0" w:type="dxa"/>
            <w:vAlign w:val="bottom"/>
          </w:tcPr>
          <w:p>
            <w:pPr>
              <w:spacing w:after="0"/>
              <w:rPr>
                <w:sz w:val="1"/>
                <w:szCs w:val="1"/>
                <w:color w:val="auto"/>
              </w:rPr>
            </w:pPr>
          </w:p>
        </w:tc>
      </w:tr>
      <w:tr>
        <w:trPr>
          <w:trHeight w:val="163"/>
        </w:trPr>
        <w:tc>
          <w:tcPr>
            <w:tcW w:w="8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EBITDA</w:t>
            </w: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26,756</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29,964</w:t>
            </w:r>
          </w:p>
        </w:tc>
        <w:tc>
          <w:tcPr>
            <w:tcW w:w="0" w:type="dxa"/>
            <w:vAlign w:val="bottom"/>
          </w:tcPr>
          <w:p>
            <w:pPr>
              <w:spacing w:after="0"/>
              <w:rPr>
                <w:sz w:val="1"/>
                <w:szCs w:val="1"/>
                <w:color w:val="auto"/>
              </w:rPr>
            </w:pPr>
          </w:p>
        </w:tc>
      </w:tr>
      <w:tr>
        <w:trPr>
          <w:trHeight w:val="176"/>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Share-based compensation expense (1)</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5,112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479</w:t>
            </w:r>
          </w:p>
        </w:tc>
        <w:tc>
          <w:tcPr>
            <w:tcW w:w="0" w:type="dxa"/>
            <w:vAlign w:val="bottom"/>
          </w:tcPr>
          <w:p>
            <w:pPr>
              <w:spacing w:after="0"/>
              <w:rPr>
                <w:sz w:val="1"/>
                <w:szCs w:val="1"/>
                <w:color w:val="auto"/>
              </w:rPr>
            </w:pPr>
          </w:p>
        </w:tc>
      </w:tr>
      <w:tr>
        <w:trPr>
          <w:trHeight w:val="168"/>
        </w:trPr>
        <w:tc>
          <w:tcPr>
            <w:tcW w:w="8740" w:type="dxa"/>
            <w:vAlign w:val="bottom"/>
          </w:tcPr>
          <w:p>
            <w:pPr>
              <w:ind w:left="240"/>
              <w:spacing w:after="0"/>
              <w:rPr>
                <w:sz w:val="20"/>
                <w:szCs w:val="20"/>
                <w:color w:val="auto"/>
              </w:rPr>
            </w:pPr>
            <w:r>
              <w:rPr>
                <w:rFonts w:ascii="Arial" w:cs="Arial" w:eastAsia="Arial" w:hAnsi="Arial"/>
                <w:sz w:val="13"/>
                <w:szCs w:val="13"/>
                <w:color w:val="auto"/>
              </w:rPr>
              <w:t>Legal fees (2)</w:t>
            </w:r>
          </w:p>
        </w:tc>
        <w:tc>
          <w:tcPr>
            <w:tcW w:w="120" w:type="dxa"/>
            <w:vAlign w:val="bottom"/>
          </w:tcPr>
          <w:p>
            <w:pPr>
              <w:spacing w:after="0"/>
              <w:rPr>
                <w:sz w:val="14"/>
                <w:szCs w:val="14"/>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180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8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Change in fair value of contingent consideration liability (3)</w:t>
            </w:r>
          </w:p>
        </w:tc>
        <w:tc>
          <w:tcPr>
            <w:tcW w:w="1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4,400</w:t>
            </w:r>
          </w:p>
        </w:tc>
        <w:tc>
          <w:tcPr>
            <w:tcW w:w="0" w:type="dxa"/>
            <w:vAlign w:val="bottom"/>
          </w:tcPr>
          <w:p>
            <w:pPr>
              <w:spacing w:after="0"/>
              <w:rPr>
                <w:sz w:val="1"/>
                <w:szCs w:val="1"/>
                <w:color w:val="auto"/>
              </w:rPr>
            </w:pPr>
          </w:p>
        </w:tc>
      </w:tr>
      <w:tr>
        <w:trPr>
          <w:trHeight w:val="169"/>
        </w:trPr>
        <w:tc>
          <w:tcPr>
            <w:tcW w:w="8740" w:type="dxa"/>
            <w:vAlign w:val="bottom"/>
          </w:tcPr>
          <w:p>
            <w:pPr>
              <w:ind w:left="240"/>
              <w:spacing w:after="0"/>
              <w:rPr>
                <w:sz w:val="20"/>
                <w:szCs w:val="20"/>
                <w:color w:val="auto"/>
              </w:rPr>
            </w:pPr>
            <w:r>
              <w:rPr>
                <w:rFonts w:ascii="Arial" w:cs="Arial" w:eastAsia="Arial" w:hAnsi="Arial"/>
                <w:sz w:val="13"/>
                <w:szCs w:val="13"/>
                <w:color w:val="auto"/>
              </w:rPr>
              <w:t>Severance costs (4)</w:t>
            </w:r>
          </w:p>
        </w:tc>
        <w:tc>
          <w:tcPr>
            <w:tcW w:w="12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80" w:type="dxa"/>
            <w:vAlign w:val="bottom"/>
          </w:tcPr>
          <w:p>
            <w:pPr>
              <w:jc w:val="right"/>
              <w:ind w:right="97"/>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200"/>
        </w:trPr>
        <w:tc>
          <w:tcPr>
            <w:tcW w:w="8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Adjusted 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32,048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34,920</w:t>
            </w:r>
          </w:p>
        </w:tc>
        <w:tc>
          <w:tcPr>
            <w:tcW w:w="0" w:type="dxa"/>
            <w:vAlign w:val="bottom"/>
          </w:tcPr>
          <w:p>
            <w:pPr>
              <w:spacing w:after="0"/>
              <w:rPr>
                <w:sz w:val="1"/>
                <w:szCs w:val="1"/>
                <w:color w:val="auto"/>
              </w:rPr>
            </w:pPr>
          </w:p>
        </w:tc>
      </w:tr>
      <w:tr>
        <w:trPr>
          <w:trHeight w:val="20"/>
        </w:trPr>
        <w:tc>
          <w:tcPr>
            <w:tcW w:w="8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Adjusted EBITDA margin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87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spacing w:after="0" w:line="134" w:lineRule="exact"/>
              <w:rPr>
                <w:sz w:val="20"/>
                <w:szCs w:val="20"/>
                <w:color w:val="auto"/>
              </w:rPr>
            </w:pPr>
            <w:r>
              <w:rPr>
                <w:rFonts w:ascii="Arial" w:cs="Arial" w:eastAsia="Arial" w:hAnsi="Arial"/>
                <w:sz w:val="13"/>
                <w:szCs w:val="13"/>
                <w:color w:val="auto"/>
              </w:rPr>
              <w:t>15.7 %</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spacing w:after="0" w:line="134" w:lineRule="exact"/>
              <w:rPr>
                <w:sz w:val="20"/>
                <w:szCs w:val="20"/>
                <w:color w:val="auto"/>
              </w:rPr>
            </w:pPr>
            <w:r>
              <w:rPr>
                <w:rFonts w:ascii="Arial" w:cs="Arial" w:eastAsia="Arial" w:hAnsi="Arial"/>
                <w:sz w:val="13"/>
                <w:szCs w:val="13"/>
                <w:color w:val="auto"/>
              </w:rPr>
              <w:t>24.8 %</w:t>
            </w: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8"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non-cash share-based compensation expense relating to equity awards.</w:t>
      </w:r>
    </w:p>
    <w:p>
      <w:pPr>
        <w:spacing w:after="0" w:line="1" w:lineRule="exact"/>
        <w:rPr>
          <w:rFonts w:ascii="Arial" w:cs="Arial" w:eastAsia="Arial" w:hAnsi="Arial"/>
          <w:sz w:val="14"/>
          <w:szCs w:val="14"/>
          <w:i w:val="1"/>
          <w:iCs w:val="1"/>
          <w:color w:val="auto"/>
        </w:rPr>
      </w:pPr>
    </w:p>
    <w:p>
      <w:pPr>
        <w:ind w:left="320" w:hanging="312"/>
        <w:spacing w:after="0"/>
        <w:tabs>
          <w:tab w:leader="none" w:pos="32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non-recurring legal fees unrelated to our core operations.</w:t>
      </w:r>
    </w:p>
    <w:p>
      <w:pPr>
        <w:spacing w:after="0" w:line="1" w:lineRule="exact"/>
        <w:rPr>
          <w:rFonts w:ascii="Arial" w:cs="Arial" w:eastAsia="Arial" w:hAnsi="Arial"/>
          <w:sz w:val="14"/>
          <w:szCs w:val="14"/>
          <w:i w:val="1"/>
          <w:iCs w:val="1"/>
          <w:color w:val="auto"/>
        </w:rPr>
      </w:pPr>
    </w:p>
    <w:p>
      <w:pPr>
        <w:ind w:left="320" w:hanging="312"/>
        <w:spacing w:after="0"/>
        <w:tabs>
          <w:tab w:leader="none" w:pos="32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change in fair value of the contingent consideration liability due to the predecessor owners of the Company arising from the Centerbridge Acquisition.</w:t>
      </w:r>
    </w:p>
    <w:p>
      <w:pPr>
        <w:spacing w:after="0" w:line="1" w:lineRule="exact"/>
        <w:rPr>
          <w:rFonts w:ascii="Arial" w:cs="Arial" w:eastAsia="Arial" w:hAnsi="Arial"/>
          <w:sz w:val="14"/>
          <w:szCs w:val="14"/>
          <w:i w:val="1"/>
          <w:iCs w:val="1"/>
          <w:color w:val="auto"/>
        </w:rPr>
      </w:pPr>
    </w:p>
    <w:p>
      <w:pPr>
        <w:ind w:left="320" w:hanging="312"/>
        <w:spacing w:after="0"/>
        <w:tabs>
          <w:tab w:leader="none" w:pos="32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costs associated with the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789"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The following table summarizes share-based compensation expense by operating function for the periods indicated (unaudited):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Three months</w:t>
            </w:r>
          </w:p>
        </w:tc>
        <w:tc>
          <w:tcPr>
            <w:tcW w:w="100" w:type="dxa"/>
            <w:vAlign w:val="bottom"/>
          </w:tcPr>
          <w:p>
            <w:pPr>
              <w:spacing w:after="0"/>
              <w:rPr>
                <w:sz w:val="13"/>
                <w:szCs w:val="13"/>
                <w:color w:val="auto"/>
              </w:rPr>
            </w:pPr>
          </w:p>
        </w:tc>
        <w:tc>
          <w:tcPr>
            <w:tcW w:w="1000" w:type="dxa"/>
            <w:vAlign w:val="bottom"/>
          </w:tcPr>
          <w:p>
            <w:pPr>
              <w:jc w:val="center"/>
              <w:ind w:right="37"/>
              <w:spacing w:after="0"/>
              <w:rPr>
                <w:sz w:val="20"/>
                <w:szCs w:val="20"/>
                <w:color w:val="auto"/>
              </w:rPr>
            </w:pPr>
            <w:r>
              <w:rPr>
                <w:rFonts w:ascii="Arial" w:cs="Arial" w:eastAsia="Arial" w:hAnsi="Arial"/>
                <w:sz w:val="13"/>
                <w:szCs w:val="13"/>
                <w:b w:val="1"/>
                <w:bCs w:val="1"/>
                <w:color w:val="auto"/>
                <w:w w:val="95"/>
              </w:rPr>
              <w:t>Three months</w:t>
            </w:r>
          </w:p>
        </w:tc>
        <w:tc>
          <w:tcPr>
            <w:tcW w:w="0" w:type="dxa"/>
            <w:vAlign w:val="bottom"/>
          </w:tcPr>
          <w:p>
            <w:pPr>
              <w:spacing w:after="0"/>
              <w:rPr>
                <w:sz w:val="1"/>
                <w:szCs w:val="1"/>
                <w:color w:val="auto"/>
              </w:rPr>
            </w:pPr>
          </w:p>
        </w:tc>
      </w:tr>
      <w:tr>
        <w:trPr>
          <w:trHeight w:val="122"/>
        </w:trPr>
        <w:tc>
          <w:tcPr>
            <w:tcW w:w="8940" w:type="dxa"/>
            <w:vAlign w:val="bottom"/>
            <w:vMerge w:val="restart"/>
          </w:tcPr>
          <w:p>
            <w:pPr>
              <w:ind w:left="20"/>
              <w:spacing w:after="0"/>
              <w:rPr>
                <w:sz w:val="20"/>
                <w:szCs w:val="20"/>
                <w:color w:val="auto"/>
              </w:rPr>
            </w:pPr>
            <w:r>
              <w:rPr>
                <w:rFonts w:ascii="Arial" w:cs="Arial" w:eastAsia="Arial" w:hAnsi="Arial"/>
                <w:sz w:val="13"/>
                <w:szCs w:val="13"/>
                <w:color w:val="auto"/>
              </w:rPr>
              <w:t>(in thousands)</w:t>
            </w:r>
          </w:p>
        </w:tc>
        <w:tc>
          <w:tcPr>
            <w:tcW w:w="100" w:type="dxa"/>
            <w:vAlign w:val="bottom"/>
          </w:tcPr>
          <w:p>
            <w:pPr>
              <w:spacing w:after="0"/>
              <w:rPr>
                <w:sz w:val="10"/>
                <w:szCs w:val="10"/>
                <w:color w:val="auto"/>
              </w:rPr>
            </w:pPr>
          </w:p>
        </w:tc>
        <w:tc>
          <w:tcPr>
            <w:tcW w:w="110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5"/>
              </w:rPr>
              <w:t>ended Mar. 31,</w:t>
            </w:r>
          </w:p>
        </w:tc>
        <w:tc>
          <w:tcPr>
            <w:tcW w:w="100" w:type="dxa"/>
            <w:vAlign w:val="bottom"/>
          </w:tcPr>
          <w:p>
            <w:pPr>
              <w:spacing w:after="0"/>
              <w:rPr>
                <w:sz w:val="10"/>
                <w:szCs w:val="10"/>
                <w:color w:val="auto"/>
              </w:rPr>
            </w:pPr>
          </w:p>
        </w:tc>
        <w:tc>
          <w:tcPr>
            <w:tcW w:w="100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auto"/>
                <w:w w:val="95"/>
              </w:rPr>
              <w:t>ended Mar. 31,</w:t>
            </w:r>
          </w:p>
        </w:tc>
        <w:tc>
          <w:tcPr>
            <w:tcW w:w="0" w:type="dxa"/>
            <w:vAlign w:val="bottom"/>
          </w:tcPr>
          <w:p>
            <w:pPr>
              <w:spacing w:after="0"/>
              <w:rPr>
                <w:sz w:val="1"/>
                <w:szCs w:val="1"/>
                <w:color w:val="auto"/>
              </w:rPr>
            </w:pPr>
          </w:p>
        </w:tc>
      </w:tr>
      <w:tr>
        <w:trPr>
          <w:trHeight w:val="172"/>
        </w:trPr>
        <w:tc>
          <w:tcPr>
            <w:tcW w:w="894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173"/>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Marketing and advertising</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68"/>
        </w:trPr>
        <w:tc>
          <w:tcPr>
            <w:tcW w:w="8940" w:type="dxa"/>
            <w:vAlign w:val="bottom"/>
          </w:tcPr>
          <w:p>
            <w:pPr>
              <w:ind w:left="20"/>
              <w:spacing w:after="0"/>
              <w:rPr>
                <w:sz w:val="20"/>
                <w:szCs w:val="20"/>
                <w:color w:val="auto"/>
              </w:rPr>
            </w:pPr>
            <w:r>
              <w:rPr>
                <w:rFonts w:ascii="Arial" w:cs="Arial" w:eastAsia="Arial" w:hAnsi="Arial"/>
                <w:sz w:val="13"/>
                <w:szCs w:val="13"/>
                <w:color w:val="auto"/>
              </w:rPr>
              <w:t>Customer care and enrollment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796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Technology</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169"/>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General and administrative</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3,232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325</w:t>
            </w:r>
          </w:p>
        </w:tc>
        <w:tc>
          <w:tcPr>
            <w:tcW w:w="0" w:type="dxa"/>
            <w:vAlign w:val="bottom"/>
          </w:tcPr>
          <w:p>
            <w:pPr>
              <w:spacing w:after="0"/>
              <w:rPr>
                <w:sz w:val="1"/>
                <w:szCs w:val="1"/>
                <w:color w:val="auto"/>
              </w:rPr>
            </w:pPr>
          </w:p>
        </w:tc>
      </w:tr>
      <w:tr>
        <w:trPr>
          <w:trHeight w:val="201"/>
        </w:trPr>
        <w:tc>
          <w:tcPr>
            <w:tcW w:w="8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share-based compensation expense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5,112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479</w:t>
            </w:r>
          </w:p>
        </w:tc>
        <w:tc>
          <w:tcPr>
            <w:tcW w:w="0" w:type="dxa"/>
            <w:vAlign w:val="bottom"/>
          </w:tcPr>
          <w:p>
            <w:pPr>
              <w:spacing w:after="0"/>
              <w:rPr>
                <w:sz w:val="1"/>
                <w:szCs w:val="1"/>
                <w:color w:val="auto"/>
              </w:rPr>
            </w:pP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our balance sheets for the periods indicated (unaudited):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500" w:type="dxa"/>
            <w:vAlign w:val="bottom"/>
          </w:tcPr>
          <w:p>
            <w:pPr>
              <w:ind w:left="20"/>
              <w:spacing w:after="0"/>
              <w:rPr>
                <w:sz w:val="20"/>
                <w:szCs w:val="20"/>
                <w:color w:val="auto"/>
              </w:rPr>
            </w:pPr>
            <w:r>
              <w:rPr>
                <w:rFonts w:ascii="Arial" w:cs="Arial" w:eastAsia="Arial" w:hAnsi="Arial"/>
                <w:sz w:val="13"/>
                <w:szCs w:val="13"/>
                <w:color w:val="auto"/>
              </w:rPr>
              <w:t>(in thousands, except per share amounts)</w:t>
            </w:r>
          </w:p>
        </w:tc>
        <w:tc>
          <w:tcPr>
            <w:tcW w:w="180" w:type="dxa"/>
            <w:vAlign w:val="bottom"/>
          </w:tcPr>
          <w:p>
            <w:pPr>
              <w:spacing w:after="0"/>
              <w:rPr>
                <w:sz w:val="15"/>
                <w:szCs w:val="15"/>
                <w:color w:val="auto"/>
              </w:rPr>
            </w:pPr>
          </w:p>
        </w:tc>
        <w:tc>
          <w:tcPr>
            <w:tcW w:w="1240" w:type="dxa"/>
            <w:vAlign w:val="bottom"/>
            <w:gridSpan w:val="2"/>
          </w:tcPr>
          <w:p>
            <w:pPr>
              <w:ind w:left="100"/>
              <w:spacing w:after="0"/>
              <w:rPr>
                <w:sz w:val="20"/>
                <w:szCs w:val="20"/>
                <w:color w:val="auto"/>
              </w:rPr>
            </w:pPr>
            <w:r>
              <w:rPr>
                <w:rFonts w:ascii="Arial" w:cs="Arial" w:eastAsia="Arial" w:hAnsi="Arial"/>
                <w:sz w:val="13"/>
                <w:szCs w:val="13"/>
                <w:b w:val="1"/>
                <w:bCs w:val="1"/>
                <w:color w:val="auto"/>
              </w:rPr>
              <w:t>Mar. 31, 2021</w:t>
            </w:r>
          </w:p>
        </w:tc>
        <w:tc>
          <w:tcPr>
            <w:tcW w:w="180" w:type="dxa"/>
            <w:vAlign w:val="bottom"/>
          </w:tcPr>
          <w:p>
            <w:pPr>
              <w:spacing w:after="0"/>
              <w:rPr>
                <w:sz w:val="15"/>
                <w:szCs w:val="15"/>
                <w:color w:val="auto"/>
              </w:rPr>
            </w:pPr>
          </w:p>
        </w:tc>
        <w:tc>
          <w:tcPr>
            <w:tcW w:w="1140" w:type="dxa"/>
            <w:vAlign w:val="bottom"/>
          </w:tcPr>
          <w:p>
            <w:pPr>
              <w:jc w:val="right"/>
              <w:ind w:right="197"/>
              <w:spacing w:after="0"/>
              <w:rPr>
                <w:sz w:val="20"/>
                <w:szCs w:val="20"/>
                <w:color w:val="auto"/>
              </w:rPr>
            </w:pPr>
            <w:r>
              <w:rPr>
                <w:rFonts w:ascii="Arial" w:cs="Arial" w:eastAsia="Arial" w:hAnsi="Arial"/>
                <w:sz w:val="13"/>
                <w:szCs w:val="13"/>
                <w:b w:val="1"/>
                <w:bCs w:val="1"/>
                <w:color w:val="auto"/>
              </w:rPr>
              <w:t>Dec. 31, 2020</w:t>
            </w:r>
          </w:p>
        </w:tc>
        <w:tc>
          <w:tcPr>
            <w:tcW w:w="0" w:type="dxa"/>
            <w:vAlign w:val="bottom"/>
          </w:tcPr>
          <w:p>
            <w:pPr>
              <w:spacing w:after="0"/>
              <w:rPr>
                <w:sz w:val="1"/>
                <w:szCs w:val="1"/>
                <w:color w:val="auto"/>
              </w:rPr>
            </w:pPr>
          </w:p>
        </w:tc>
      </w:tr>
      <w:tr>
        <w:trPr>
          <w:trHeight w:val="162"/>
        </w:trPr>
        <w:tc>
          <w:tcPr>
            <w:tcW w:w="8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18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500" w:type="dxa"/>
            <w:vAlign w:val="bottom"/>
          </w:tcPr>
          <w:p>
            <w:pPr>
              <w:ind w:left="20"/>
              <w:spacing w:after="0"/>
              <w:rPr>
                <w:sz w:val="20"/>
                <w:szCs w:val="20"/>
                <w:color w:val="auto"/>
              </w:rPr>
            </w:pPr>
            <w:r>
              <w:rPr>
                <w:rFonts w:ascii="Arial" w:cs="Arial" w:eastAsia="Arial" w:hAnsi="Arial"/>
                <w:sz w:val="13"/>
                <w:szCs w:val="13"/>
                <w:i w:val="1"/>
                <w:iCs w:val="1"/>
                <w:color w:val="auto"/>
              </w:rPr>
              <w:t>Current assets:</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Cash and cash equivalents</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173,979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144,234</w:t>
            </w:r>
          </w:p>
        </w:tc>
        <w:tc>
          <w:tcPr>
            <w:tcW w:w="0" w:type="dxa"/>
            <w:vAlign w:val="bottom"/>
          </w:tcPr>
          <w:p>
            <w:pPr>
              <w:spacing w:after="0"/>
              <w:rPr>
                <w:sz w:val="1"/>
                <w:szCs w:val="1"/>
                <w:color w:val="auto"/>
              </w:rPr>
            </w:pPr>
          </w:p>
        </w:tc>
      </w:tr>
      <w:tr>
        <w:trPr>
          <w:trHeight w:val="168"/>
        </w:trPr>
        <w:tc>
          <w:tcPr>
            <w:tcW w:w="8500" w:type="dxa"/>
            <w:vAlign w:val="bottom"/>
          </w:tcPr>
          <w:p>
            <w:pPr>
              <w:ind w:left="240"/>
              <w:spacing w:after="0"/>
              <w:rPr>
                <w:sz w:val="20"/>
                <w:szCs w:val="20"/>
                <w:color w:val="auto"/>
              </w:rPr>
            </w:pPr>
            <w:r>
              <w:rPr>
                <w:rFonts w:ascii="Arial" w:cs="Arial" w:eastAsia="Arial" w:hAnsi="Arial"/>
                <w:sz w:val="13"/>
                <w:szCs w:val="13"/>
                <w:color w:val="auto"/>
              </w:rPr>
              <w:t>Accounts receivable, net of allowance for doubtful accounts of $730 in 2021 and $787 in 2020</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22,092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14,211</w:t>
            </w:r>
          </w:p>
        </w:tc>
        <w:tc>
          <w:tcPr>
            <w:tcW w:w="0" w:type="dxa"/>
            <w:vAlign w:val="bottom"/>
          </w:tcPr>
          <w:p>
            <w:pPr>
              <w:spacing w:after="0"/>
              <w:rPr>
                <w:sz w:val="1"/>
                <w:szCs w:val="1"/>
                <w:color w:val="auto"/>
              </w:rPr>
            </w:pPr>
          </w:p>
        </w:tc>
      </w:tr>
      <w:tr>
        <w:trPr>
          <w:trHeight w:val="183"/>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Receivable from NVX Holdings, Inc.</w:t>
            </w:r>
          </w:p>
        </w:tc>
        <w:tc>
          <w:tcPr>
            <w:tcW w:w="1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3,395</w:t>
            </w:r>
          </w:p>
        </w:tc>
        <w:tc>
          <w:tcPr>
            <w:tcW w:w="0" w:type="dxa"/>
            <w:vAlign w:val="bottom"/>
          </w:tcPr>
          <w:p>
            <w:pPr>
              <w:spacing w:after="0"/>
              <w:rPr>
                <w:sz w:val="1"/>
                <w:szCs w:val="1"/>
                <w:color w:val="auto"/>
              </w:rPr>
            </w:pPr>
          </w:p>
        </w:tc>
      </w:tr>
      <w:tr>
        <w:trPr>
          <w:trHeight w:val="168"/>
        </w:trPr>
        <w:tc>
          <w:tcPr>
            <w:tcW w:w="8500" w:type="dxa"/>
            <w:vAlign w:val="bottom"/>
          </w:tcPr>
          <w:p>
            <w:pPr>
              <w:ind w:left="240"/>
              <w:spacing w:after="0"/>
              <w:rPr>
                <w:sz w:val="20"/>
                <w:szCs w:val="20"/>
                <w:color w:val="auto"/>
              </w:rPr>
            </w:pPr>
            <w:r>
              <w:rPr>
                <w:rFonts w:ascii="Arial" w:cs="Arial" w:eastAsia="Arial" w:hAnsi="Arial"/>
                <w:sz w:val="13"/>
                <w:szCs w:val="13"/>
                <w:color w:val="auto"/>
              </w:rPr>
              <w:t>Commissions receivable - current</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98,222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188,128</w:t>
            </w:r>
          </w:p>
        </w:tc>
        <w:tc>
          <w:tcPr>
            <w:tcW w:w="0" w:type="dxa"/>
            <w:vAlign w:val="bottom"/>
          </w:tcPr>
          <w:p>
            <w:pPr>
              <w:spacing w:after="0"/>
              <w:rPr>
                <w:sz w:val="1"/>
                <w:szCs w:val="1"/>
                <w:color w:val="auto"/>
              </w:rPr>
            </w:pPr>
          </w:p>
        </w:tc>
      </w:tr>
      <w:tr>
        <w:trPr>
          <w:trHeight w:val="183"/>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Prepaid expense and other current assets</w:t>
            </w: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26,496</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41,854</w:t>
            </w:r>
          </w:p>
        </w:tc>
        <w:tc>
          <w:tcPr>
            <w:tcW w:w="0" w:type="dxa"/>
            <w:vAlign w:val="bottom"/>
          </w:tcPr>
          <w:p>
            <w:pPr>
              <w:spacing w:after="0"/>
              <w:rPr>
                <w:sz w:val="1"/>
                <w:szCs w:val="1"/>
                <w:color w:val="auto"/>
              </w:rPr>
            </w:pPr>
          </w:p>
        </w:tc>
      </w:tr>
      <w:tr>
        <w:trPr>
          <w:trHeight w:val="163"/>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current assets</w:t>
            </w: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320,789</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391,822</w:t>
            </w:r>
          </w:p>
        </w:tc>
        <w:tc>
          <w:tcPr>
            <w:tcW w:w="0" w:type="dxa"/>
            <w:vAlign w:val="bottom"/>
          </w:tcPr>
          <w:p>
            <w:pPr>
              <w:spacing w:after="0"/>
              <w:rPr>
                <w:sz w:val="1"/>
                <w:szCs w:val="1"/>
                <w:color w:val="auto"/>
              </w:rPr>
            </w:pPr>
          </w:p>
        </w:tc>
      </w:tr>
      <w:tr>
        <w:trPr>
          <w:trHeight w:val="176"/>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Commissions receivable - non-current</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702,668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622,270</w:t>
            </w:r>
          </w:p>
        </w:tc>
        <w:tc>
          <w:tcPr>
            <w:tcW w:w="0" w:type="dxa"/>
            <w:vAlign w:val="bottom"/>
          </w:tcPr>
          <w:p>
            <w:pPr>
              <w:spacing w:after="0"/>
              <w:rPr>
                <w:sz w:val="1"/>
                <w:szCs w:val="1"/>
                <w:color w:val="auto"/>
              </w:rPr>
            </w:pPr>
          </w:p>
        </w:tc>
      </w:tr>
      <w:tr>
        <w:trPr>
          <w:trHeight w:val="168"/>
        </w:trPr>
        <w:tc>
          <w:tcPr>
            <w:tcW w:w="8500" w:type="dxa"/>
            <w:vAlign w:val="bottom"/>
          </w:tcPr>
          <w:p>
            <w:pPr>
              <w:ind w:left="20"/>
              <w:spacing w:after="0"/>
              <w:rPr>
                <w:sz w:val="20"/>
                <w:szCs w:val="20"/>
                <w:color w:val="auto"/>
              </w:rPr>
            </w:pPr>
            <w:r>
              <w:rPr>
                <w:rFonts w:ascii="Arial" w:cs="Arial" w:eastAsia="Arial" w:hAnsi="Arial"/>
                <w:sz w:val="13"/>
                <w:szCs w:val="13"/>
                <w:color w:val="auto"/>
              </w:rPr>
              <w:t>Other long-term assets</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2,170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2,072</w:t>
            </w:r>
          </w:p>
        </w:tc>
        <w:tc>
          <w:tcPr>
            <w:tcW w:w="0" w:type="dxa"/>
            <w:vAlign w:val="bottom"/>
          </w:tcPr>
          <w:p>
            <w:pPr>
              <w:spacing w:after="0"/>
              <w:rPr>
                <w:sz w:val="1"/>
                <w:szCs w:val="1"/>
                <w:color w:val="auto"/>
              </w:rPr>
            </w:pPr>
          </w:p>
        </w:tc>
      </w:tr>
      <w:tr>
        <w:trPr>
          <w:trHeight w:val="183"/>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equipment, and capitalized software, net</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20,984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17,353</w:t>
            </w:r>
          </w:p>
        </w:tc>
        <w:tc>
          <w:tcPr>
            <w:tcW w:w="0" w:type="dxa"/>
            <w:vAlign w:val="bottom"/>
          </w:tcPr>
          <w:p>
            <w:pPr>
              <w:spacing w:after="0"/>
              <w:rPr>
                <w:sz w:val="1"/>
                <w:szCs w:val="1"/>
                <w:color w:val="auto"/>
              </w:rPr>
            </w:pPr>
          </w:p>
        </w:tc>
      </w:tr>
      <w:tr>
        <w:trPr>
          <w:trHeight w:val="168"/>
        </w:trPr>
        <w:tc>
          <w:tcPr>
            <w:tcW w:w="8500" w:type="dxa"/>
            <w:vAlign w:val="bottom"/>
          </w:tcPr>
          <w:p>
            <w:pPr>
              <w:ind w:left="20"/>
              <w:spacing w:after="0"/>
              <w:rPr>
                <w:sz w:val="20"/>
                <w:szCs w:val="20"/>
                <w:color w:val="auto"/>
              </w:rPr>
            </w:pPr>
            <w:r>
              <w:rPr>
                <w:rFonts w:ascii="Arial" w:cs="Arial" w:eastAsia="Arial" w:hAnsi="Arial"/>
                <w:sz w:val="13"/>
                <w:szCs w:val="13"/>
                <w:color w:val="auto"/>
              </w:rPr>
              <w:t>Intangible assets, net</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665,211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688,726</w:t>
            </w:r>
          </w:p>
        </w:tc>
        <w:tc>
          <w:tcPr>
            <w:tcW w:w="0" w:type="dxa"/>
            <w:vAlign w:val="bottom"/>
          </w:tcPr>
          <w:p>
            <w:pPr>
              <w:spacing w:after="0"/>
              <w:rPr>
                <w:sz w:val="1"/>
                <w:szCs w:val="1"/>
                <w:color w:val="auto"/>
              </w:rPr>
            </w:pPr>
          </w:p>
        </w:tc>
      </w:tr>
      <w:tr>
        <w:trPr>
          <w:trHeight w:val="177"/>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w:t>
            </w: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386,553</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386,553</w:t>
            </w:r>
          </w:p>
        </w:tc>
        <w:tc>
          <w:tcPr>
            <w:tcW w:w="0" w:type="dxa"/>
            <w:vAlign w:val="bottom"/>
          </w:tcPr>
          <w:p>
            <w:pPr>
              <w:spacing w:after="0"/>
              <w:rPr>
                <w:sz w:val="1"/>
                <w:szCs w:val="1"/>
                <w:color w:val="auto"/>
              </w:rPr>
            </w:pPr>
          </w:p>
        </w:tc>
      </w:tr>
      <w:tr>
        <w:trPr>
          <w:trHeight w:val="176"/>
        </w:trPr>
        <w:tc>
          <w:tcPr>
            <w:tcW w:w="8500" w:type="dxa"/>
            <w:vAlign w:val="bottom"/>
          </w:tcPr>
          <w:p>
            <w:pPr>
              <w:ind w:left="20"/>
              <w:spacing w:after="0"/>
              <w:rPr>
                <w:sz w:val="20"/>
                <w:szCs w:val="20"/>
                <w:color w:val="auto"/>
              </w:rPr>
            </w:pPr>
            <w:r>
              <w:rPr>
                <w:rFonts w:ascii="Arial" w:cs="Arial" w:eastAsia="Arial" w:hAnsi="Arial"/>
                <w:sz w:val="13"/>
                <w:szCs w:val="13"/>
                <w:b w:val="1"/>
                <w:bCs w:val="1"/>
                <w:color w:val="auto"/>
              </w:rPr>
              <w:t>Total assets</w:t>
            </w: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2,098,375</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2,108,796</w:t>
            </w:r>
          </w:p>
        </w:tc>
        <w:tc>
          <w:tcPr>
            <w:tcW w:w="0" w:type="dxa"/>
            <w:vAlign w:val="bottom"/>
          </w:tcPr>
          <w:p>
            <w:pPr>
              <w:spacing w:after="0"/>
              <w:rPr>
                <w:sz w:val="1"/>
                <w:szCs w:val="1"/>
                <w:color w:val="auto"/>
              </w:rPr>
            </w:pPr>
          </w:p>
        </w:tc>
      </w:tr>
      <w:tr>
        <w:trPr>
          <w:trHeight w:val="20"/>
        </w:trPr>
        <w:tc>
          <w:tcPr>
            <w:tcW w:w="8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50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b w:val="1"/>
                <w:bCs w:val="1"/>
                <w:color w:val="auto"/>
              </w:rPr>
              <w:t>Liabilities and Stockholders’ / Members’ Equity</w:t>
            </w: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8500" w:type="dxa"/>
            <w:vAlign w:val="bottom"/>
          </w:tcPr>
          <w:p>
            <w:pPr>
              <w:ind w:left="20"/>
              <w:spacing w:after="0"/>
              <w:rPr>
                <w:sz w:val="20"/>
                <w:szCs w:val="20"/>
                <w:color w:val="auto"/>
              </w:rPr>
            </w:pPr>
            <w:r>
              <w:rPr>
                <w:rFonts w:ascii="Arial" w:cs="Arial" w:eastAsia="Arial" w:hAnsi="Arial"/>
                <w:sz w:val="13"/>
                <w:szCs w:val="13"/>
                <w:i w:val="1"/>
                <w:iCs w:val="1"/>
                <w:color w:val="auto"/>
              </w:rPr>
              <w:t>Current liabilities:</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Accounts payable</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11,993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8,733</w:t>
            </w:r>
          </w:p>
        </w:tc>
        <w:tc>
          <w:tcPr>
            <w:tcW w:w="0" w:type="dxa"/>
            <w:vAlign w:val="bottom"/>
          </w:tcPr>
          <w:p>
            <w:pPr>
              <w:spacing w:after="0"/>
              <w:rPr>
                <w:sz w:val="1"/>
                <w:szCs w:val="1"/>
                <w:color w:val="auto"/>
              </w:rPr>
            </w:pPr>
          </w:p>
        </w:tc>
      </w:tr>
      <w:tr>
        <w:trPr>
          <w:trHeight w:val="168"/>
        </w:trPr>
        <w:tc>
          <w:tcPr>
            <w:tcW w:w="8500" w:type="dxa"/>
            <w:vAlign w:val="bottom"/>
          </w:tcPr>
          <w:p>
            <w:pPr>
              <w:ind w:left="240"/>
              <w:spacing w:after="0"/>
              <w:rPr>
                <w:sz w:val="20"/>
                <w:szCs w:val="20"/>
                <w:color w:val="auto"/>
              </w:rPr>
            </w:pPr>
            <w:r>
              <w:rPr>
                <w:rFonts w:ascii="Arial" w:cs="Arial" w:eastAsia="Arial" w:hAnsi="Arial"/>
                <w:sz w:val="13"/>
                <w:szCs w:val="13"/>
                <w:color w:val="auto"/>
              </w:rPr>
              <w:t>Accrued liabilities</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26,143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26,926</w:t>
            </w:r>
          </w:p>
        </w:tc>
        <w:tc>
          <w:tcPr>
            <w:tcW w:w="0" w:type="dxa"/>
            <w:vAlign w:val="bottom"/>
          </w:tcPr>
          <w:p>
            <w:pPr>
              <w:spacing w:after="0"/>
              <w:rPr>
                <w:sz w:val="1"/>
                <w:szCs w:val="1"/>
                <w:color w:val="auto"/>
              </w:rPr>
            </w:pPr>
          </w:p>
        </w:tc>
      </w:tr>
      <w:tr>
        <w:trPr>
          <w:trHeight w:val="184"/>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Commissions payable - current</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47,554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78,478</w:t>
            </w:r>
          </w:p>
        </w:tc>
        <w:tc>
          <w:tcPr>
            <w:tcW w:w="0" w:type="dxa"/>
            <w:vAlign w:val="bottom"/>
          </w:tcPr>
          <w:p>
            <w:pPr>
              <w:spacing w:after="0"/>
              <w:rPr>
                <w:sz w:val="1"/>
                <w:szCs w:val="1"/>
                <w:color w:val="auto"/>
              </w:rPr>
            </w:pPr>
          </w:p>
        </w:tc>
      </w:tr>
      <w:tr>
        <w:trPr>
          <w:trHeight w:val="167"/>
        </w:trPr>
        <w:tc>
          <w:tcPr>
            <w:tcW w:w="8500" w:type="dxa"/>
            <w:vAlign w:val="bottom"/>
          </w:tcPr>
          <w:p>
            <w:pPr>
              <w:ind w:left="240"/>
              <w:spacing w:after="0"/>
              <w:rPr>
                <w:sz w:val="20"/>
                <w:szCs w:val="20"/>
                <w:color w:val="auto"/>
              </w:rPr>
            </w:pPr>
            <w:r>
              <w:rPr>
                <w:rFonts w:ascii="Arial" w:cs="Arial" w:eastAsia="Arial" w:hAnsi="Arial"/>
                <w:sz w:val="13"/>
                <w:szCs w:val="13"/>
                <w:color w:val="auto"/>
              </w:rPr>
              <w:t>Deferred revenue</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750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736</w:t>
            </w:r>
          </w:p>
        </w:tc>
        <w:tc>
          <w:tcPr>
            <w:tcW w:w="0" w:type="dxa"/>
            <w:vAlign w:val="bottom"/>
          </w:tcPr>
          <w:p>
            <w:pPr>
              <w:spacing w:after="0"/>
              <w:rPr>
                <w:sz w:val="1"/>
                <w:szCs w:val="1"/>
                <w:color w:val="auto"/>
              </w:rPr>
            </w:pPr>
          </w:p>
        </w:tc>
      </w:tr>
      <w:tr>
        <w:trPr>
          <w:trHeight w:val="184"/>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Current portion of long-term debt</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4,170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4,170</w:t>
            </w:r>
          </w:p>
        </w:tc>
        <w:tc>
          <w:tcPr>
            <w:tcW w:w="0" w:type="dxa"/>
            <w:vAlign w:val="bottom"/>
          </w:tcPr>
          <w:p>
            <w:pPr>
              <w:spacing w:after="0"/>
              <w:rPr>
                <w:sz w:val="1"/>
                <w:szCs w:val="1"/>
                <w:color w:val="auto"/>
              </w:rPr>
            </w:pPr>
          </w:p>
        </w:tc>
      </w:tr>
      <w:tr>
        <w:trPr>
          <w:trHeight w:val="169"/>
        </w:trPr>
        <w:tc>
          <w:tcPr>
            <w:tcW w:w="850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Other current liabilities</w:t>
            </w: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9,037</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8,328</w:t>
            </w:r>
          </w:p>
        </w:tc>
        <w:tc>
          <w:tcPr>
            <w:tcW w:w="0" w:type="dxa"/>
            <w:vAlign w:val="bottom"/>
          </w:tcPr>
          <w:p>
            <w:pPr>
              <w:spacing w:after="0"/>
              <w:rPr>
                <w:sz w:val="1"/>
                <w:szCs w:val="1"/>
                <w:color w:val="auto"/>
              </w:rPr>
            </w:pPr>
          </w:p>
        </w:tc>
      </w:tr>
      <w:tr>
        <w:trPr>
          <w:trHeight w:val="175"/>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current liabilities</w:t>
            </w: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99,647</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127,371</w:t>
            </w:r>
          </w:p>
        </w:tc>
        <w:tc>
          <w:tcPr>
            <w:tcW w:w="0" w:type="dxa"/>
            <w:vAlign w:val="bottom"/>
          </w:tcPr>
          <w:p>
            <w:pPr>
              <w:spacing w:after="0"/>
              <w:rPr>
                <w:sz w:val="1"/>
                <w:szCs w:val="1"/>
                <w:color w:val="auto"/>
              </w:rPr>
            </w:pPr>
          </w:p>
        </w:tc>
      </w:tr>
      <w:tr>
        <w:trPr>
          <w:trHeight w:val="150"/>
        </w:trPr>
        <w:tc>
          <w:tcPr>
            <w:tcW w:w="8500" w:type="dxa"/>
            <w:vAlign w:val="bottom"/>
          </w:tcPr>
          <w:p>
            <w:pPr>
              <w:ind w:left="20"/>
              <w:spacing w:after="0" w:line="144" w:lineRule="exact"/>
              <w:rPr>
                <w:sz w:val="20"/>
                <w:szCs w:val="20"/>
                <w:color w:val="auto"/>
              </w:rPr>
            </w:pPr>
            <w:r>
              <w:rPr>
                <w:rFonts w:ascii="Arial" w:cs="Arial" w:eastAsia="Arial" w:hAnsi="Arial"/>
                <w:sz w:val="13"/>
                <w:szCs w:val="13"/>
                <w:i w:val="1"/>
                <w:iCs w:val="1"/>
                <w:color w:val="auto"/>
              </w:rPr>
              <w:t>Non-current liabilities:</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Commissions payable - non-current</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202,703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182,596</w:t>
            </w:r>
          </w:p>
        </w:tc>
        <w:tc>
          <w:tcPr>
            <w:tcW w:w="0" w:type="dxa"/>
            <w:vAlign w:val="bottom"/>
          </w:tcPr>
          <w:p>
            <w:pPr>
              <w:spacing w:after="0"/>
              <w:rPr>
                <w:sz w:val="1"/>
                <w:szCs w:val="1"/>
                <w:color w:val="auto"/>
              </w:rPr>
            </w:pPr>
          </w:p>
        </w:tc>
      </w:tr>
      <w:tr>
        <w:trPr>
          <w:trHeight w:val="168"/>
        </w:trPr>
        <w:tc>
          <w:tcPr>
            <w:tcW w:w="8500" w:type="dxa"/>
            <w:vAlign w:val="bottom"/>
          </w:tcPr>
          <w:p>
            <w:pPr>
              <w:ind w:left="240"/>
              <w:spacing w:after="0"/>
              <w:rPr>
                <w:sz w:val="20"/>
                <w:szCs w:val="20"/>
                <w:color w:val="auto"/>
              </w:rPr>
            </w:pPr>
            <w:r>
              <w:rPr>
                <w:rFonts w:ascii="Arial" w:cs="Arial" w:eastAsia="Arial" w:hAnsi="Arial"/>
                <w:sz w:val="13"/>
                <w:szCs w:val="13"/>
                <w:color w:val="auto"/>
              </w:rPr>
              <w:t>Long-term debt, net of current portion</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395,982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396,400</w:t>
            </w:r>
          </w:p>
        </w:tc>
        <w:tc>
          <w:tcPr>
            <w:tcW w:w="0" w:type="dxa"/>
            <w:vAlign w:val="bottom"/>
          </w:tcPr>
          <w:p>
            <w:pPr>
              <w:spacing w:after="0"/>
              <w:rPr>
                <w:sz w:val="1"/>
                <w:szCs w:val="1"/>
                <w:color w:val="auto"/>
              </w:rPr>
            </w:pPr>
          </w:p>
        </w:tc>
      </w:tr>
      <w:tr>
        <w:trPr>
          <w:trHeight w:val="183"/>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non-current liabilities</w:t>
            </w: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3,037</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3,274</w:t>
            </w:r>
          </w:p>
        </w:tc>
        <w:tc>
          <w:tcPr>
            <w:tcW w:w="0" w:type="dxa"/>
            <w:vAlign w:val="bottom"/>
          </w:tcPr>
          <w:p>
            <w:pPr>
              <w:spacing w:after="0"/>
              <w:rPr>
                <w:sz w:val="1"/>
                <w:szCs w:val="1"/>
                <w:color w:val="auto"/>
              </w:rPr>
            </w:pPr>
          </w:p>
        </w:tc>
      </w:tr>
      <w:tr>
        <w:trPr>
          <w:trHeight w:val="163"/>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non-current liabilities</w:t>
            </w: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601,722</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582,270</w:t>
            </w:r>
          </w:p>
        </w:tc>
        <w:tc>
          <w:tcPr>
            <w:tcW w:w="0" w:type="dxa"/>
            <w:vAlign w:val="bottom"/>
          </w:tcPr>
          <w:p>
            <w:pPr>
              <w:spacing w:after="0"/>
              <w:rPr>
                <w:sz w:val="1"/>
                <w:szCs w:val="1"/>
                <w:color w:val="auto"/>
              </w:rPr>
            </w:pPr>
          </w:p>
        </w:tc>
      </w:tr>
      <w:tr>
        <w:trPr>
          <w:trHeight w:val="162"/>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Stockholders’ equity:</w:t>
            </w: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500" w:type="dxa"/>
            <w:vAlign w:val="bottom"/>
          </w:tcPr>
          <w:p>
            <w:pPr>
              <w:ind w:left="240"/>
              <w:spacing w:after="0" w:line="129" w:lineRule="exact"/>
              <w:rPr>
                <w:sz w:val="20"/>
                <w:szCs w:val="20"/>
                <w:color w:val="auto"/>
              </w:rPr>
            </w:pPr>
            <w:r>
              <w:rPr>
                <w:rFonts w:ascii="Arial" w:cs="Arial" w:eastAsia="Arial" w:hAnsi="Arial"/>
                <w:sz w:val="13"/>
                <w:szCs w:val="13"/>
                <w:color w:val="auto"/>
                <w:w w:val="99"/>
              </w:rPr>
              <w:t>Class A common stock – $0.0001 par value; 1,100,000 shares authorized; 98,518 and 84,196 shares issued and outstanding at March 31, 2021</w:t>
            </w:r>
          </w:p>
        </w:tc>
        <w:tc>
          <w:tcPr>
            <w:tcW w:w="18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60"/>
        </w:trPr>
        <w:tc>
          <w:tcPr>
            <w:tcW w:w="8500" w:type="dxa"/>
            <w:vAlign w:val="bottom"/>
          </w:tcPr>
          <w:p>
            <w:pPr>
              <w:ind w:left="240"/>
              <w:spacing w:after="0"/>
              <w:rPr>
                <w:sz w:val="20"/>
                <w:szCs w:val="20"/>
                <w:color w:val="auto"/>
              </w:rPr>
            </w:pPr>
            <w:r>
              <w:rPr>
                <w:rFonts w:ascii="Arial" w:cs="Arial" w:eastAsia="Arial" w:hAnsi="Arial"/>
                <w:sz w:val="13"/>
                <w:szCs w:val="13"/>
                <w:color w:val="auto"/>
              </w:rPr>
              <w:t>and December 31, 2020, respectively.</w:t>
            </w:r>
          </w:p>
        </w:tc>
        <w:tc>
          <w:tcPr>
            <w:tcW w:w="18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8500" w:type="dxa"/>
            <w:vAlign w:val="bottom"/>
            <w:shd w:val="clear" w:color="auto" w:fill="CCEEFF"/>
          </w:tcPr>
          <w:p>
            <w:pPr>
              <w:ind w:left="240"/>
              <w:spacing w:after="0" w:line="137" w:lineRule="exact"/>
              <w:rPr>
                <w:sz w:val="20"/>
                <w:szCs w:val="20"/>
                <w:color w:val="auto"/>
              </w:rPr>
            </w:pPr>
            <w:r>
              <w:rPr>
                <w:rFonts w:ascii="Arial" w:cs="Arial" w:eastAsia="Arial" w:hAnsi="Arial"/>
                <w:sz w:val="13"/>
                <w:szCs w:val="13"/>
                <w:color w:val="auto"/>
              </w:rPr>
              <w:t>Class B common stock – $0.0001 par value; 604,613 and 619,004 shares authorized; 222,606 and 236,997 shares issued and outstanding at</w:t>
            </w:r>
          </w:p>
        </w:tc>
        <w:tc>
          <w:tcPr>
            <w:tcW w:w="18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68"/>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March 31, 2021 and December 31, 2020, respectively.</w:t>
            </w:r>
          </w:p>
        </w:tc>
        <w:tc>
          <w:tcPr>
            <w:tcW w:w="18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500" w:type="dxa"/>
            <w:vAlign w:val="bottom"/>
          </w:tcPr>
          <w:p>
            <w:pPr>
              <w:ind w:left="240"/>
              <w:spacing w:after="0"/>
              <w:rPr>
                <w:sz w:val="20"/>
                <w:szCs w:val="20"/>
                <w:color w:val="auto"/>
              </w:rPr>
            </w:pPr>
            <w:r>
              <w:rPr>
                <w:rFonts w:ascii="Arial" w:cs="Arial" w:eastAsia="Arial" w:hAnsi="Arial"/>
                <w:sz w:val="13"/>
                <w:szCs w:val="13"/>
                <w:color w:val="auto"/>
              </w:rPr>
              <w:t>Preferred stock – $0.0001 par value; 20,000 shares authorized; no shares issued and outstanding at March 31, 2021 and December 31, 2020.</w:t>
            </w:r>
          </w:p>
        </w:tc>
        <w:tc>
          <w:tcPr>
            <w:tcW w:w="18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4"/>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Additional paid-in capital</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465,936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399,169</w:t>
            </w:r>
          </w:p>
        </w:tc>
        <w:tc>
          <w:tcPr>
            <w:tcW w:w="0" w:type="dxa"/>
            <w:vAlign w:val="bottom"/>
          </w:tcPr>
          <w:p>
            <w:pPr>
              <w:spacing w:after="0"/>
              <w:rPr>
                <w:sz w:val="1"/>
                <w:szCs w:val="1"/>
                <w:color w:val="auto"/>
              </w:rPr>
            </w:pPr>
          </w:p>
        </w:tc>
      </w:tr>
      <w:tr>
        <w:trPr>
          <w:trHeight w:val="168"/>
        </w:trPr>
        <w:tc>
          <w:tcPr>
            <w:tcW w:w="8500" w:type="dxa"/>
            <w:vAlign w:val="bottom"/>
          </w:tcPr>
          <w:p>
            <w:pPr>
              <w:ind w:left="240"/>
              <w:spacing w:after="0"/>
              <w:rPr>
                <w:sz w:val="20"/>
                <w:szCs w:val="20"/>
                <w:color w:val="auto"/>
              </w:rPr>
            </w:pPr>
            <w:r>
              <w:rPr>
                <w:rFonts w:ascii="Arial" w:cs="Arial" w:eastAsia="Arial" w:hAnsi="Arial"/>
                <w:sz w:val="13"/>
                <w:szCs w:val="13"/>
                <w:color w:val="auto"/>
              </w:rPr>
              <w:t>Accumulated other comprehensive income (loss)</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83"/>
        </w:trPr>
        <w:tc>
          <w:tcPr>
            <w:tcW w:w="8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Accumulated deficit</w:t>
            </w: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(20,892)</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(18,802)</w:t>
            </w:r>
          </w:p>
        </w:tc>
        <w:tc>
          <w:tcPr>
            <w:tcW w:w="0" w:type="dxa"/>
            <w:vAlign w:val="bottom"/>
          </w:tcPr>
          <w:p>
            <w:pPr>
              <w:spacing w:after="0"/>
              <w:rPr>
                <w:sz w:val="1"/>
                <w:szCs w:val="1"/>
                <w:color w:val="auto"/>
              </w:rPr>
            </w:pPr>
          </w:p>
        </w:tc>
      </w:tr>
      <w:tr>
        <w:trPr>
          <w:trHeight w:val="163"/>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stockholders’ equity attributable to GoHealth, Inc.</w:t>
            </w: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445,095</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380,416</w:t>
            </w:r>
          </w:p>
        </w:tc>
        <w:tc>
          <w:tcPr>
            <w:tcW w:w="0" w:type="dxa"/>
            <w:vAlign w:val="bottom"/>
          </w:tcPr>
          <w:p>
            <w:pPr>
              <w:spacing w:after="0"/>
              <w:rPr>
                <w:sz w:val="1"/>
                <w:szCs w:val="1"/>
                <w:color w:val="auto"/>
              </w:rPr>
            </w:pPr>
          </w:p>
        </w:tc>
      </w:tr>
      <w:tr>
        <w:trPr>
          <w:trHeight w:val="175"/>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Non-controlling interests</w:t>
            </w: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951,911</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1,018,739</w:t>
            </w:r>
          </w:p>
        </w:tc>
        <w:tc>
          <w:tcPr>
            <w:tcW w:w="0" w:type="dxa"/>
            <w:vAlign w:val="bottom"/>
          </w:tcPr>
          <w:p>
            <w:pPr>
              <w:spacing w:after="0"/>
              <w:rPr>
                <w:sz w:val="1"/>
                <w:szCs w:val="1"/>
                <w:color w:val="auto"/>
              </w:rPr>
            </w:pPr>
          </w:p>
        </w:tc>
      </w:tr>
      <w:tr>
        <w:trPr>
          <w:trHeight w:val="163"/>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stockholders’ / members’ equity</w:t>
            </w: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1,397,006</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1,399,155</w:t>
            </w:r>
          </w:p>
        </w:tc>
        <w:tc>
          <w:tcPr>
            <w:tcW w:w="0" w:type="dxa"/>
            <w:vAlign w:val="bottom"/>
          </w:tcPr>
          <w:p>
            <w:pPr>
              <w:spacing w:after="0"/>
              <w:rPr>
                <w:sz w:val="1"/>
                <w:szCs w:val="1"/>
                <w:color w:val="auto"/>
              </w:rPr>
            </w:pPr>
          </w:p>
        </w:tc>
      </w:tr>
      <w:tr>
        <w:trPr>
          <w:trHeight w:val="201"/>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liabilities and stockholders’ / members’ equity</w:t>
            </w: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2,098,375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2,108,796</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897"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The following table sets forth our statements of cash flows for the periods indicated (unaudited):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Three months</w:t>
            </w:r>
          </w:p>
        </w:tc>
        <w:tc>
          <w:tcPr>
            <w:tcW w:w="100" w:type="dxa"/>
            <w:vAlign w:val="bottom"/>
          </w:tcPr>
          <w:p>
            <w:pPr>
              <w:spacing w:after="0"/>
              <w:rPr>
                <w:sz w:val="13"/>
                <w:szCs w:val="13"/>
                <w:color w:val="auto"/>
              </w:rPr>
            </w:pPr>
          </w:p>
        </w:tc>
        <w:tc>
          <w:tcPr>
            <w:tcW w:w="1000" w:type="dxa"/>
            <w:vAlign w:val="bottom"/>
          </w:tcPr>
          <w:p>
            <w:pPr>
              <w:jc w:val="center"/>
              <w:ind w:right="37"/>
              <w:spacing w:after="0"/>
              <w:rPr>
                <w:sz w:val="20"/>
                <w:szCs w:val="20"/>
                <w:color w:val="auto"/>
              </w:rPr>
            </w:pPr>
            <w:r>
              <w:rPr>
                <w:rFonts w:ascii="Arial" w:cs="Arial" w:eastAsia="Arial" w:hAnsi="Arial"/>
                <w:sz w:val="13"/>
                <w:szCs w:val="13"/>
                <w:b w:val="1"/>
                <w:bCs w:val="1"/>
                <w:color w:val="auto"/>
                <w:w w:val="95"/>
              </w:rPr>
              <w:t>Three months</w:t>
            </w:r>
          </w:p>
        </w:tc>
        <w:tc>
          <w:tcPr>
            <w:tcW w:w="0" w:type="dxa"/>
            <w:vAlign w:val="bottom"/>
          </w:tcPr>
          <w:p>
            <w:pPr>
              <w:spacing w:after="0"/>
              <w:rPr>
                <w:sz w:val="1"/>
                <w:szCs w:val="1"/>
                <w:color w:val="auto"/>
              </w:rPr>
            </w:pPr>
          </w:p>
        </w:tc>
      </w:tr>
      <w:tr>
        <w:trPr>
          <w:trHeight w:val="122"/>
        </w:trPr>
        <w:tc>
          <w:tcPr>
            <w:tcW w:w="8940" w:type="dxa"/>
            <w:vAlign w:val="bottom"/>
            <w:vMerge w:val="restart"/>
          </w:tcPr>
          <w:p>
            <w:pPr>
              <w:ind w:left="20"/>
              <w:spacing w:after="0"/>
              <w:rPr>
                <w:sz w:val="20"/>
                <w:szCs w:val="20"/>
                <w:color w:val="auto"/>
              </w:rPr>
            </w:pPr>
            <w:r>
              <w:rPr>
                <w:rFonts w:ascii="Arial" w:cs="Arial" w:eastAsia="Arial" w:hAnsi="Arial"/>
                <w:sz w:val="13"/>
                <w:szCs w:val="13"/>
                <w:color w:val="auto"/>
              </w:rPr>
              <w:t>(in thousands)</w:t>
            </w:r>
          </w:p>
        </w:tc>
        <w:tc>
          <w:tcPr>
            <w:tcW w:w="100" w:type="dxa"/>
            <w:vAlign w:val="bottom"/>
          </w:tcPr>
          <w:p>
            <w:pPr>
              <w:spacing w:after="0"/>
              <w:rPr>
                <w:sz w:val="10"/>
                <w:szCs w:val="10"/>
                <w:color w:val="auto"/>
              </w:rPr>
            </w:pPr>
          </w:p>
        </w:tc>
        <w:tc>
          <w:tcPr>
            <w:tcW w:w="110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5"/>
              </w:rPr>
              <w:t>ended Mar. 31,</w:t>
            </w:r>
          </w:p>
        </w:tc>
        <w:tc>
          <w:tcPr>
            <w:tcW w:w="100" w:type="dxa"/>
            <w:vAlign w:val="bottom"/>
          </w:tcPr>
          <w:p>
            <w:pPr>
              <w:spacing w:after="0"/>
              <w:rPr>
                <w:sz w:val="10"/>
                <w:szCs w:val="10"/>
                <w:color w:val="auto"/>
              </w:rPr>
            </w:pPr>
          </w:p>
        </w:tc>
        <w:tc>
          <w:tcPr>
            <w:tcW w:w="100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auto"/>
                <w:w w:val="95"/>
              </w:rPr>
              <w:t>ended Mar. 31,</w:t>
            </w:r>
          </w:p>
        </w:tc>
        <w:tc>
          <w:tcPr>
            <w:tcW w:w="0" w:type="dxa"/>
            <w:vAlign w:val="bottom"/>
          </w:tcPr>
          <w:p>
            <w:pPr>
              <w:spacing w:after="0"/>
              <w:rPr>
                <w:sz w:val="1"/>
                <w:szCs w:val="1"/>
                <w:color w:val="auto"/>
              </w:rPr>
            </w:pPr>
          </w:p>
        </w:tc>
      </w:tr>
      <w:tr>
        <w:trPr>
          <w:trHeight w:val="172"/>
        </w:trPr>
        <w:tc>
          <w:tcPr>
            <w:tcW w:w="894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159"/>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94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(7,268)</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(937)</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Adjustments to reconcile net income (loss) to net cash provided by (used in) operating activities: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940" w:type="dxa"/>
            <w:vAlign w:val="bottom"/>
          </w:tcPr>
          <w:p>
            <w:pPr>
              <w:ind w:left="240"/>
              <w:spacing w:after="0"/>
              <w:rPr>
                <w:sz w:val="20"/>
                <w:szCs w:val="20"/>
                <w:color w:val="auto"/>
              </w:rPr>
            </w:pPr>
            <w:r>
              <w:rPr>
                <w:rFonts w:ascii="Arial" w:cs="Arial" w:eastAsia="Arial" w:hAnsi="Arial"/>
                <w:sz w:val="13"/>
                <w:szCs w:val="13"/>
                <w:color w:val="auto"/>
              </w:rPr>
              <w:t>Share-based compensation</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5,112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479</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Depreciation and amortization</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633</w:t>
            </w:r>
          </w:p>
        </w:tc>
        <w:tc>
          <w:tcPr>
            <w:tcW w:w="0" w:type="dxa"/>
            <w:vAlign w:val="bottom"/>
          </w:tcPr>
          <w:p>
            <w:pPr>
              <w:spacing w:after="0"/>
              <w:rPr>
                <w:sz w:val="1"/>
                <w:szCs w:val="1"/>
                <w:color w:val="auto"/>
              </w:rPr>
            </w:pPr>
          </w:p>
        </w:tc>
      </w:tr>
      <w:tr>
        <w:trPr>
          <w:trHeight w:val="168"/>
        </w:trPr>
        <w:tc>
          <w:tcPr>
            <w:tcW w:w="8940" w:type="dxa"/>
            <w:vAlign w:val="bottom"/>
          </w:tcPr>
          <w:p>
            <w:pPr>
              <w:ind w:left="240"/>
              <w:spacing w:after="0"/>
              <w:rPr>
                <w:sz w:val="20"/>
                <w:szCs w:val="20"/>
                <w:color w:val="auto"/>
              </w:rPr>
            </w:pPr>
            <w:r>
              <w:rPr>
                <w:rFonts w:ascii="Arial" w:cs="Arial" w:eastAsia="Arial" w:hAnsi="Arial"/>
                <w:sz w:val="13"/>
                <w:szCs w:val="13"/>
                <w:color w:val="auto"/>
              </w:rPr>
              <w:t>Amortization of intangible assets</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23,514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23,514</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Amortization of debt discount and issuance costs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w:t>
            </w:r>
          </w:p>
        </w:tc>
        <w:tc>
          <w:tcPr>
            <w:tcW w:w="0" w:type="dxa"/>
            <w:vAlign w:val="bottom"/>
          </w:tcPr>
          <w:p>
            <w:pPr>
              <w:spacing w:after="0"/>
              <w:rPr>
                <w:sz w:val="1"/>
                <w:szCs w:val="1"/>
                <w:color w:val="auto"/>
              </w:rPr>
            </w:pPr>
          </w:p>
        </w:tc>
      </w:tr>
      <w:tr>
        <w:trPr>
          <w:trHeight w:val="167"/>
        </w:trPr>
        <w:tc>
          <w:tcPr>
            <w:tcW w:w="8940" w:type="dxa"/>
            <w:vAlign w:val="bottom"/>
          </w:tcPr>
          <w:p>
            <w:pPr>
              <w:ind w:left="240"/>
              <w:spacing w:after="0"/>
              <w:rPr>
                <w:sz w:val="20"/>
                <w:szCs w:val="20"/>
                <w:color w:val="auto"/>
              </w:rPr>
            </w:pPr>
            <w:r>
              <w:rPr>
                <w:rFonts w:ascii="Arial" w:cs="Arial" w:eastAsia="Arial" w:hAnsi="Arial"/>
                <w:sz w:val="13"/>
                <w:szCs w:val="13"/>
                <w:color w:val="auto"/>
              </w:rPr>
              <w:t>Change in fair value of contingent consideration</w:t>
            </w: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4,400</w:t>
            </w:r>
          </w:p>
        </w:tc>
        <w:tc>
          <w:tcPr>
            <w:tcW w:w="0" w:type="dxa"/>
            <w:vAlign w:val="bottom"/>
          </w:tcPr>
          <w:p>
            <w:pPr>
              <w:spacing w:after="0"/>
              <w:rPr>
                <w:sz w:val="1"/>
                <w:szCs w:val="1"/>
                <w:color w:val="auto"/>
              </w:rPr>
            </w:pPr>
          </w:p>
        </w:tc>
      </w:tr>
      <w:tr>
        <w:trPr>
          <w:trHeight w:val="184"/>
        </w:trPr>
        <w:tc>
          <w:tcPr>
            <w:tcW w:w="8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non-cash items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w:t>
            </w:r>
          </w:p>
        </w:tc>
        <w:tc>
          <w:tcPr>
            <w:tcW w:w="0" w:type="dxa"/>
            <w:vAlign w:val="bottom"/>
          </w:tcPr>
          <w:p>
            <w:pPr>
              <w:spacing w:after="0"/>
              <w:rPr>
                <w:sz w:val="1"/>
                <w:szCs w:val="1"/>
                <w:color w:val="auto"/>
              </w:rPr>
            </w:pPr>
          </w:p>
        </w:tc>
      </w:tr>
      <w:tr>
        <w:trPr>
          <w:trHeight w:val="170"/>
        </w:trPr>
        <w:tc>
          <w:tcPr>
            <w:tcW w:w="8940" w:type="dxa"/>
            <w:vAlign w:val="bottom"/>
          </w:tcPr>
          <w:p>
            <w:pPr>
              <w:ind w:left="240"/>
              <w:spacing w:after="0"/>
              <w:rPr>
                <w:sz w:val="20"/>
                <w:szCs w:val="20"/>
                <w:color w:val="auto"/>
              </w:rPr>
            </w:pPr>
            <w:r>
              <w:rPr>
                <w:rFonts w:ascii="Arial" w:cs="Arial" w:eastAsia="Arial" w:hAnsi="Arial"/>
                <w:sz w:val="13"/>
                <w:szCs w:val="13"/>
                <w:i w:val="1"/>
                <w:iCs w:val="1"/>
                <w:color w:val="auto"/>
              </w:rPr>
              <w:t>Changes in assets and liabilities, net of acquisition:</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9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Accounts receivable</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9,302</w:t>
            </w:r>
          </w:p>
        </w:tc>
        <w:tc>
          <w:tcPr>
            <w:tcW w:w="0" w:type="dxa"/>
            <w:vAlign w:val="bottom"/>
          </w:tcPr>
          <w:p>
            <w:pPr>
              <w:spacing w:after="0"/>
              <w:rPr>
                <w:sz w:val="1"/>
                <w:szCs w:val="1"/>
                <w:color w:val="auto"/>
              </w:rPr>
            </w:pPr>
          </w:p>
        </w:tc>
      </w:tr>
      <w:tr>
        <w:trPr>
          <w:trHeight w:val="168"/>
        </w:trPr>
        <w:tc>
          <w:tcPr>
            <w:tcW w:w="8940" w:type="dxa"/>
            <w:vAlign w:val="bottom"/>
          </w:tcPr>
          <w:p>
            <w:pPr>
              <w:ind w:left="460"/>
              <w:spacing w:after="0"/>
              <w:rPr>
                <w:sz w:val="20"/>
                <w:szCs w:val="20"/>
                <w:color w:val="auto"/>
              </w:rPr>
            </w:pPr>
            <w:r>
              <w:rPr>
                <w:rFonts w:ascii="Arial" w:cs="Arial" w:eastAsia="Arial" w:hAnsi="Arial"/>
                <w:sz w:val="13"/>
                <w:szCs w:val="13"/>
                <w:color w:val="auto"/>
              </w:rPr>
              <w:t>Commissions receivable</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9,508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(5,859)</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Prepaid expenses and other assets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9,227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9,007</w:t>
            </w:r>
          </w:p>
        </w:tc>
        <w:tc>
          <w:tcPr>
            <w:tcW w:w="0" w:type="dxa"/>
            <w:vAlign w:val="bottom"/>
          </w:tcPr>
          <w:p>
            <w:pPr>
              <w:spacing w:after="0"/>
              <w:rPr>
                <w:sz w:val="1"/>
                <w:szCs w:val="1"/>
                <w:color w:val="auto"/>
              </w:rPr>
            </w:pPr>
          </w:p>
        </w:tc>
      </w:tr>
      <w:tr>
        <w:trPr>
          <w:trHeight w:val="168"/>
        </w:trPr>
        <w:tc>
          <w:tcPr>
            <w:tcW w:w="8940" w:type="dxa"/>
            <w:vAlign w:val="bottom"/>
          </w:tcPr>
          <w:p>
            <w:pPr>
              <w:ind w:left="460"/>
              <w:spacing w:after="0"/>
              <w:rPr>
                <w:sz w:val="20"/>
                <w:szCs w:val="20"/>
                <w:color w:val="auto"/>
              </w:rPr>
            </w:pPr>
            <w:r>
              <w:rPr>
                <w:rFonts w:ascii="Arial" w:cs="Arial" w:eastAsia="Arial" w:hAnsi="Arial"/>
                <w:sz w:val="13"/>
                <w:szCs w:val="13"/>
                <w:color w:val="auto"/>
              </w:rPr>
              <w:t>Accounts payable</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1,570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(864)</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Accrued liabilities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(10,828)</w:t>
            </w:r>
          </w:p>
        </w:tc>
        <w:tc>
          <w:tcPr>
            <w:tcW w:w="0" w:type="dxa"/>
            <w:vAlign w:val="bottom"/>
          </w:tcPr>
          <w:p>
            <w:pPr>
              <w:spacing w:after="0"/>
              <w:rPr>
                <w:sz w:val="1"/>
                <w:szCs w:val="1"/>
                <w:color w:val="auto"/>
              </w:rPr>
            </w:pPr>
          </w:p>
        </w:tc>
      </w:tr>
      <w:tr>
        <w:trPr>
          <w:trHeight w:val="168"/>
        </w:trPr>
        <w:tc>
          <w:tcPr>
            <w:tcW w:w="8940" w:type="dxa"/>
            <w:vAlign w:val="bottom"/>
          </w:tcPr>
          <w:p>
            <w:pPr>
              <w:ind w:left="460"/>
              <w:spacing w:after="0"/>
              <w:rPr>
                <w:sz w:val="20"/>
                <w:szCs w:val="20"/>
                <w:color w:val="auto"/>
              </w:rPr>
            </w:pPr>
            <w:r>
              <w:rPr>
                <w:rFonts w:ascii="Arial" w:cs="Arial" w:eastAsia="Arial" w:hAnsi="Arial"/>
                <w:sz w:val="13"/>
                <w:szCs w:val="13"/>
                <w:color w:val="auto"/>
              </w:rPr>
              <w:t>Deferred revenue</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(351)</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Commissions payable</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(10,818)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(5,441)</w:t>
            </w:r>
          </w:p>
        </w:tc>
        <w:tc>
          <w:tcPr>
            <w:tcW w:w="0" w:type="dxa"/>
            <w:vAlign w:val="bottom"/>
          </w:tcPr>
          <w:p>
            <w:pPr>
              <w:spacing w:after="0"/>
              <w:rPr>
                <w:sz w:val="1"/>
                <w:szCs w:val="1"/>
                <w:color w:val="auto"/>
              </w:rPr>
            </w:pPr>
          </w:p>
        </w:tc>
      </w:tr>
      <w:tr>
        <w:trPr>
          <w:trHeight w:val="169"/>
        </w:trPr>
        <w:tc>
          <w:tcPr>
            <w:tcW w:w="8940" w:type="dxa"/>
            <w:vAlign w:val="bottom"/>
            <w:tcBorders>
              <w:bottom w:val="single" w:sz="8" w:color="CCEEFF"/>
            </w:tcBorders>
          </w:tcPr>
          <w:p>
            <w:pPr>
              <w:ind w:left="460"/>
              <w:spacing w:after="0"/>
              <w:rPr>
                <w:sz w:val="20"/>
                <w:szCs w:val="20"/>
                <w:color w:val="auto"/>
              </w:rPr>
            </w:pPr>
            <w:r>
              <w:rPr>
                <w:rFonts w:ascii="Arial" w:cs="Arial" w:eastAsia="Arial" w:hAnsi="Arial"/>
                <w:sz w:val="13"/>
                <w:szCs w:val="13"/>
                <w:color w:val="auto"/>
              </w:rPr>
              <w:t>Other liabilities</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723</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479</w:t>
            </w:r>
          </w:p>
        </w:tc>
        <w:tc>
          <w:tcPr>
            <w:tcW w:w="0" w:type="dxa"/>
            <w:vAlign w:val="bottom"/>
          </w:tcPr>
          <w:p>
            <w:pPr>
              <w:spacing w:after="0"/>
              <w:rPr>
                <w:sz w:val="1"/>
                <w:szCs w:val="1"/>
                <w:color w:val="auto"/>
              </w:rPr>
            </w:pPr>
          </w:p>
        </w:tc>
      </w:tr>
      <w:tr>
        <w:trPr>
          <w:trHeight w:val="176"/>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(used in) operating activities</w:t>
            </w: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31,202</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23,587</w:t>
            </w:r>
          </w:p>
        </w:tc>
        <w:tc>
          <w:tcPr>
            <w:tcW w:w="0" w:type="dxa"/>
            <w:vAlign w:val="bottom"/>
          </w:tcPr>
          <w:p>
            <w:pPr>
              <w:spacing w:after="0"/>
              <w:rPr>
                <w:sz w:val="1"/>
                <w:szCs w:val="1"/>
                <w:color w:val="auto"/>
              </w:rPr>
            </w:pPr>
          </w:p>
        </w:tc>
      </w:tr>
      <w:tr>
        <w:trPr>
          <w:trHeight w:val="152"/>
        </w:trPr>
        <w:tc>
          <w:tcPr>
            <w:tcW w:w="8940" w:type="dxa"/>
            <w:vAlign w:val="bottom"/>
          </w:tcPr>
          <w:p>
            <w:pPr>
              <w:ind w:left="20"/>
              <w:spacing w:after="0" w:line="148" w:lineRule="exact"/>
              <w:rPr>
                <w:sz w:val="20"/>
                <w:szCs w:val="20"/>
                <w:color w:val="auto"/>
              </w:rPr>
            </w:pPr>
            <w:r>
              <w:rPr>
                <w:rFonts w:ascii="Arial" w:cs="Arial" w:eastAsia="Arial" w:hAnsi="Arial"/>
                <w:sz w:val="13"/>
                <w:szCs w:val="13"/>
                <w:b w:val="1"/>
                <w:bCs w:val="1"/>
                <w:color w:val="auto"/>
              </w:rPr>
              <w:t>Investing Activities</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Purchases of property, equipment and software</w:t>
            </w: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(3,740)</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(3,522)</w:t>
            </w:r>
          </w:p>
        </w:tc>
        <w:tc>
          <w:tcPr>
            <w:tcW w:w="0" w:type="dxa"/>
            <w:vAlign w:val="bottom"/>
          </w:tcPr>
          <w:p>
            <w:pPr>
              <w:spacing w:after="0"/>
              <w:rPr>
                <w:sz w:val="1"/>
                <w:szCs w:val="1"/>
                <w:color w:val="auto"/>
              </w:rPr>
            </w:pPr>
          </w:p>
        </w:tc>
      </w:tr>
      <w:tr>
        <w:trPr>
          <w:trHeight w:val="163"/>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cash provided by (used in) investing activities</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(3,740)</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(3,522)</w:t>
            </w:r>
          </w:p>
        </w:tc>
        <w:tc>
          <w:tcPr>
            <w:tcW w:w="0" w:type="dxa"/>
            <w:vAlign w:val="bottom"/>
          </w:tcPr>
          <w:p>
            <w:pPr>
              <w:spacing w:after="0"/>
              <w:rPr>
                <w:sz w:val="1"/>
                <w:szCs w:val="1"/>
                <w:color w:val="auto"/>
              </w:rPr>
            </w:pPr>
          </w:p>
        </w:tc>
      </w:tr>
      <w:tr>
        <w:trPr>
          <w:trHeight w:val="162"/>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940" w:type="dxa"/>
            <w:vAlign w:val="bottom"/>
          </w:tcPr>
          <w:p>
            <w:pPr>
              <w:ind w:left="20"/>
              <w:spacing w:after="0"/>
              <w:rPr>
                <w:sz w:val="20"/>
                <w:szCs w:val="20"/>
                <w:color w:val="auto"/>
              </w:rPr>
            </w:pPr>
            <w:r>
              <w:rPr>
                <w:rFonts w:ascii="Arial" w:cs="Arial" w:eastAsia="Arial" w:hAnsi="Arial"/>
                <w:sz w:val="13"/>
                <w:szCs w:val="13"/>
                <w:color w:val="auto"/>
              </w:rPr>
              <w:t>Proceeds received upon issuance of common units</w:t>
            </w: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10,000</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Borrowings under term loans</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117,000</w:t>
            </w:r>
          </w:p>
        </w:tc>
        <w:tc>
          <w:tcPr>
            <w:tcW w:w="0" w:type="dxa"/>
            <w:vAlign w:val="bottom"/>
          </w:tcPr>
          <w:p>
            <w:pPr>
              <w:spacing w:after="0"/>
              <w:rPr>
                <w:sz w:val="1"/>
                <w:szCs w:val="1"/>
                <w:color w:val="auto"/>
              </w:rPr>
            </w:pPr>
          </w:p>
        </w:tc>
      </w:tr>
      <w:tr>
        <w:trPr>
          <w:trHeight w:val="168"/>
        </w:trPr>
        <w:tc>
          <w:tcPr>
            <w:tcW w:w="8940" w:type="dxa"/>
            <w:vAlign w:val="bottom"/>
          </w:tcPr>
          <w:p>
            <w:pPr>
              <w:ind w:left="20"/>
              <w:spacing w:after="0"/>
              <w:rPr>
                <w:sz w:val="20"/>
                <w:szCs w:val="20"/>
                <w:color w:val="auto"/>
              </w:rPr>
            </w:pPr>
            <w:r>
              <w:rPr>
                <w:rFonts w:ascii="Arial" w:cs="Arial" w:eastAsia="Arial" w:hAnsi="Arial"/>
                <w:sz w:val="13"/>
                <w:szCs w:val="13"/>
                <w:color w:val="auto"/>
              </w:rPr>
              <w:t>Principal payments under term loans</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(1,043)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(750)</w:t>
            </w:r>
          </w:p>
        </w:tc>
        <w:tc>
          <w:tcPr>
            <w:tcW w:w="0" w:type="dxa"/>
            <w:vAlign w:val="bottom"/>
          </w:tcPr>
          <w:p>
            <w:pPr>
              <w:spacing w:after="0"/>
              <w:rPr>
                <w:sz w:val="1"/>
                <w:szCs w:val="1"/>
                <w:color w:val="auto"/>
              </w:rPr>
            </w:pPr>
          </w:p>
        </w:tc>
      </w:tr>
      <w:tr>
        <w:trPr>
          <w:trHeight w:val="183"/>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Debt issuance cost payments</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(6,011)</w:t>
            </w:r>
          </w:p>
        </w:tc>
        <w:tc>
          <w:tcPr>
            <w:tcW w:w="0" w:type="dxa"/>
            <w:vAlign w:val="bottom"/>
          </w:tcPr>
          <w:p>
            <w:pPr>
              <w:spacing w:after="0"/>
              <w:rPr>
                <w:sz w:val="1"/>
                <w:szCs w:val="1"/>
                <w:color w:val="auto"/>
              </w:rPr>
            </w:pPr>
          </w:p>
        </w:tc>
      </w:tr>
      <w:tr>
        <w:trPr>
          <w:trHeight w:val="167"/>
        </w:trPr>
        <w:tc>
          <w:tcPr>
            <w:tcW w:w="8940" w:type="dxa"/>
            <w:vAlign w:val="bottom"/>
          </w:tcPr>
          <w:p>
            <w:pPr>
              <w:ind w:left="20"/>
              <w:spacing w:after="0"/>
              <w:rPr>
                <w:sz w:val="20"/>
                <w:szCs w:val="20"/>
                <w:color w:val="auto"/>
              </w:rPr>
            </w:pPr>
            <w:r>
              <w:rPr>
                <w:rFonts w:ascii="Arial" w:cs="Arial" w:eastAsia="Arial" w:hAnsi="Arial"/>
                <w:sz w:val="13"/>
                <w:szCs w:val="13"/>
                <w:color w:val="auto"/>
              </w:rPr>
              <w:t>Principal payments under capital lease obligations</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184"/>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received on advancement to NVX Holdings, Inc.</w:t>
            </w: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3,395</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cash provided by (used in) financing activities</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2,276</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120,167</w:t>
            </w:r>
          </w:p>
        </w:tc>
        <w:tc>
          <w:tcPr>
            <w:tcW w:w="0" w:type="dxa"/>
            <w:vAlign w:val="bottom"/>
          </w:tcPr>
          <w:p>
            <w:pPr>
              <w:spacing w:after="0"/>
              <w:rPr>
                <w:sz w:val="1"/>
                <w:szCs w:val="1"/>
                <w:color w:val="auto"/>
              </w:rPr>
            </w:pPr>
          </w:p>
        </w:tc>
      </w:tr>
      <w:tr>
        <w:trPr>
          <w:trHeight w:val="176"/>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 of exchange rate changes on cash and cash equivalents</w:t>
            </w: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63"/>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Increase in cash and cash equivalents</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29,745</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140,147</w:t>
            </w:r>
          </w:p>
        </w:tc>
        <w:tc>
          <w:tcPr>
            <w:tcW w:w="0" w:type="dxa"/>
            <w:vAlign w:val="bottom"/>
          </w:tcPr>
          <w:p>
            <w:pPr>
              <w:spacing w:after="0"/>
              <w:rPr>
                <w:sz w:val="1"/>
                <w:szCs w:val="1"/>
                <w:color w:val="auto"/>
              </w:rPr>
            </w:pPr>
          </w:p>
        </w:tc>
      </w:tr>
      <w:tr>
        <w:trPr>
          <w:trHeight w:val="169"/>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 at beginning of period</w:t>
            </w:r>
          </w:p>
        </w:tc>
        <w:tc>
          <w:tcPr>
            <w:tcW w:w="1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144,234</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12,276</w:t>
            </w:r>
          </w:p>
        </w:tc>
        <w:tc>
          <w:tcPr>
            <w:tcW w:w="0" w:type="dxa"/>
            <w:vAlign w:val="bottom"/>
          </w:tcPr>
          <w:p>
            <w:pPr>
              <w:spacing w:after="0"/>
              <w:rPr>
                <w:sz w:val="1"/>
                <w:szCs w:val="1"/>
                <w:color w:val="auto"/>
              </w:rPr>
            </w:pPr>
          </w:p>
        </w:tc>
      </w:tr>
      <w:tr>
        <w:trPr>
          <w:trHeight w:val="175"/>
        </w:trPr>
        <w:tc>
          <w:tcPr>
            <w:tcW w:w="8940" w:type="dxa"/>
            <w:vAlign w:val="bottom"/>
          </w:tcPr>
          <w:p>
            <w:pPr>
              <w:ind w:left="20"/>
              <w:spacing w:after="0"/>
              <w:rPr>
                <w:sz w:val="20"/>
                <w:szCs w:val="20"/>
                <w:color w:val="auto"/>
              </w:rPr>
            </w:pPr>
            <w:r>
              <w:rPr>
                <w:rFonts w:ascii="Arial" w:cs="Arial" w:eastAsia="Arial" w:hAnsi="Arial"/>
                <w:sz w:val="13"/>
                <w:szCs w:val="13"/>
                <w:b w:val="1"/>
                <w:bCs w:val="1"/>
                <w:color w:val="auto"/>
              </w:rPr>
              <w:t>Cash and cash equivalents at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173,979</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152,423</w:t>
            </w:r>
          </w:p>
        </w:tc>
        <w:tc>
          <w:tcPr>
            <w:tcW w:w="0" w:type="dxa"/>
            <w:vAlign w:val="bottom"/>
          </w:tcPr>
          <w:p>
            <w:pPr>
              <w:spacing w:after="0"/>
              <w:rPr>
                <w:sz w:val="1"/>
                <w:szCs w:val="1"/>
                <w:color w:val="auto"/>
              </w:rPr>
            </w:pPr>
          </w:p>
        </w:tc>
      </w:tr>
      <w:tr>
        <w:trPr>
          <w:trHeight w:val="21"/>
        </w:trPr>
        <w:tc>
          <w:tcPr>
            <w:tcW w:w="8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897"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The following tables set forth operating segment results for the periods indicated (unaudited):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660" w:type="dxa"/>
            <w:vAlign w:val="bottom"/>
          </w:tcPr>
          <w:p>
            <w:pPr>
              <w:spacing w:after="0"/>
              <w:rPr>
                <w:sz w:val="15"/>
                <w:szCs w:val="15"/>
                <w:color w:val="auto"/>
              </w:rPr>
            </w:pPr>
          </w:p>
        </w:tc>
        <w:tc>
          <w:tcPr>
            <w:tcW w:w="214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97"/>
              </w:rPr>
              <w:t>Three months ended Mar. 31, 2021</w:t>
            </w:r>
          </w:p>
        </w:tc>
        <w:tc>
          <w:tcPr>
            <w:tcW w:w="100" w:type="dxa"/>
            <w:vAlign w:val="bottom"/>
          </w:tcPr>
          <w:p>
            <w:pPr>
              <w:spacing w:after="0"/>
              <w:rPr>
                <w:sz w:val="15"/>
                <w:szCs w:val="15"/>
                <w:color w:val="auto"/>
              </w:rPr>
            </w:pPr>
          </w:p>
        </w:tc>
        <w:tc>
          <w:tcPr>
            <w:tcW w:w="21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96"/>
              </w:rPr>
              <w:t>Three months ended Mar. 31, 2020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660" w:type="dxa"/>
            <w:vAlign w:val="bottom"/>
            <w:vMerge w:val="restart"/>
          </w:tcPr>
          <w:p>
            <w:pPr>
              <w:ind w:left="20"/>
              <w:spacing w:after="0"/>
              <w:rPr>
                <w:sz w:val="20"/>
                <w:szCs w:val="20"/>
                <w:color w:val="auto"/>
              </w:rPr>
            </w:pPr>
            <w:r>
              <w:rPr>
                <w:rFonts w:ascii="Arial" w:cs="Arial" w:eastAsia="Arial" w:hAnsi="Arial"/>
                <w:sz w:val="13"/>
                <w:szCs w:val="13"/>
                <w:color w:val="auto"/>
              </w:rPr>
              <w:t>(in thousands, except percentages)</w:t>
            </w:r>
          </w:p>
        </w:tc>
        <w:tc>
          <w:tcPr>
            <w:tcW w:w="200" w:type="dxa"/>
            <w:vAlign w:val="bottom"/>
          </w:tcPr>
          <w:p>
            <w:pPr>
              <w:spacing w:after="0"/>
              <w:rPr>
                <w:sz w:val="11"/>
                <w:szCs w:val="11"/>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Dollars</w:t>
            </w: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 of Net</w:t>
            </w:r>
          </w:p>
        </w:tc>
        <w:tc>
          <w:tcPr>
            <w:tcW w:w="200" w:type="dxa"/>
            <w:vAlign w:val="bottom"/>
          </w:tcPr>
          <w:p>
            <w:pPr>
              <w:spacing w:after="0"/>
              <w:rPr>
                <w:sz w:val="11"/>
                <w:szCs w:val="11"/>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Dollars</w:t>
            </w:r>
          </w:p>
        </w:tc>
        <w:tc>
          <w:tcPr>
            <w:tcW w:w="10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9"/>
              </w:rPr>
              <w:t>% of Net</w:t>
            </w:r>
          </w:p>
        </w:tc>
        <w:tc>
          <w:tcPr>
            <w:tcW w:w="160" w:type="dxa"/>
            <w:vAlign w:val="bottom"/>
          </w:tcPr>
          <w:p>
            <w:pPr>
              <w:spacing w:after="0"/>
              <w:rPr>
                <w:sz w:val="11"/>
                <w:szCs w:val="11"/>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 Change</w:t>
            </w:r>
          </w:p>
        </w:tc>
        <w:tc>
          <w:tcPr>
            <w:tcW w:w="96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72"/>
        </w:trPr>
        <w:tc>
          <w:tcPr>
            <w:tcW w:w="4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Revenues</w:t>
            </w:r>
          </w:p>
        </w:tc>
        <w:tc>
          <w:tcPr>
            <w:tcW w:w="2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Revenues</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66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i w:val="1"/>
                <w:iCs w:val="1"/>
                <w:color w:val="auto"/>
              </w:rPr>
              <w:t>Net revenues:</w:t>
            </w:r>
          </w:p>
        </w:tc>
        <w:tc>
          <w:tcPr>
            <w:tcW w:w="2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660" w:type="dxa"/>
            <w:vAlign w:val="bottom"/>
          </w:tcPr>
          <w:p>
            <w:pPr>
              <w:ind w:left="240"/>
              <w:spacing w:after="0"/>
              <w:rPr>
                <w:sz w:val="20"/>
                <w:szCs w:val="20"/>
                <w:color w:val="auto"/>
              </w:rPr>
            </w:pPr>
            <w:r>
              <w:rPr>
                <w:rFonts w:ascii="Arial" w:cs="Arial" w:eastAsia="Arial" w:hAnsi="Arial"/>
                <w:sz w:val="13"/>
                <w:szCs w:val="13"/>
                <w:color w:val="auto"/>
              </w:rPr>
              <w:t>Medicare - Internal</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157,353</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77.2 %</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95,287</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67.6 %</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62,066</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65.1 %</w:t>
            </w:r>
          </w:p>
        </w:tc>
        <w:tc>
          <w:tcPr>
            <w:tcW w:w="0" w:type="dxa"/>
            <w:vAlign w:val="bottom"/>
          </w:tcPr>
          <w:p>
            <w:pPr>
              <w:spacing w:after="0"/>
              <w:rPr>
                <w:sz w:val="1"/>
                <w:szCs w:val="1"/>
                <w:color w:val="auto"/>
              </w:rPr>
            </w:pPr>
          </w:p>
        </w:tc>
      </w:tr>
      <w:tr>
        <w:trPr>
          <w:trHeight w:val="183"/>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Medicare - External</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39,500</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28,945</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10,555</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36.5 %</w:t>
            </w:r>
          </w:p>
        </w:tc>
        <w:tc>
          <w:tcPr>
            <w:tcW w:w="0" w:type="dxa"/>
            <w:vAlign w:val="bottom"/>
          </w:tcPr>
          <w:p>
            <w:pPr>
              <w:spacing w:after="0"/>
              <w:rPr>
                <w:sz w:val="1"/>
                <w:szCs w:val="1"/>
                <w:color w:val="auto"/>
              </w:rPr>
            </w:pPr>
          </w:p>
        </w:tc>
      </w:tr>
      <w:tr>
        <w:trPr>
          <w:trHeight w:val="168"/>
        </w:trPr>
        <w:tc>
          <w:tcPr>
            <w:tcW w:w="4660" w:type="dxa"/>
            <w:vAlign w:val="bottom"/>
          </w:tcPr>
          <w:p>
            <w:pPr>
              <w:ind w:left="240"/>
              <w:spacing w:after="0"/>
              <w:rPr>
                <w:sz w:val="20"/>
                <w:szCs w:val="20"/>
                <w:color w:val="auto"/>
              </w:rPr>
            </w:pPr>
            <w:r>
              <w:rPr>
                <w:rFonts w:ascii="Arial" w:cs="Arial" w:eastAsia="Arial" w:hAnsi="Arial"/>
                <w:sz w:val="13"/>
                <w:szCs w:val="13"/>
                <w:color w:val="auto"/>
              </w:rPr>
              <w:t>IFP and Other - Internal</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3,975</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8,632</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6.1 %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(4,657)</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(54.0)%</w:t>
            </w:r>
          </w:p>
        </w:tc>
        <w:tc>
          <w:tcPr>
            <w:tcW w:w="0" w:type="dxa"/>
            <w:vAlign w:val="bottom"/>
          </w:tcPr>
          <w:p>
            <w:pPr>
              <w:spacing w:after="0"/>
              <w:rPr>
                <w:sz w:val="1"/>
                <w:szCs w:val="1"/>
                <w:color w:val="auto"/>
              </w:rPr>
            </w:pPr>
          </w:p>
        </w:tc>
      </w:tr>
      <w:tr>
        <w:trPr>
          <w:trHeight w:val="183"/>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IFP and Other - External</w:t>
            </w:r>
          </w:p>
        </w:tc>
        <w:tc>
          <w:tcPr>
            <w:tcW w:w="2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3,351</w:t>
            </w:r>
          </w:p>
        </w:tc>
        <w:tc>
          <w:tcPr>
            <w:tcW w:w="8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1.6 %</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8,146</w:t>
            </w: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5.8 %</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(4,795)</w:t>
            </w: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(58.9)%</w:t>
            </w:r>
          </w:p>
        </w:tc>
        <w:tc>
          <w:tcPr>
            <w:tcW w:w="0" w:type="dxa"/>
            <w:vAlign w:val="bottom"/>
          </w:tcPr>
          <w:p>
            <w:pPr>
              <w:spacing w:after="0"/>
              <w:rPr>
                <w:sz w:val="1"/>
                <w:szCs w:val="1"/>
                <w:color w:val="auto"/>
              </w:rPr>
            </w:pPr>
          </w:p>
        </w:tc>
      </w:tr>
      <w:tr>
        <w:trPr>
          <w:trHeight w:val="163"/>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revenues</w:t>
            </w: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204,179</w:t>
            </w: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141,010</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63,169</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44.8 %</w:t>
            </w:r>
          </w:p>
        </w:tc>
        <w:tc>
          <w:tcPr>
            <w:tcW w:w="0" w:type="dxa"/>
            <w:vAlign w:val="bottom"/>
          </w:tcPr>
          <w:p>
            <w:pPr>
              <w:spacing w:after="0"/>
              <w:rPr>
                <w:sz w:val="1"/>
                <w:szCs w:val="1"/>
                <w:color w:val="auto"/>
              </w:rPr>
            </w:pPr>
          </w:p>
        </w:tc>
      </w:tr>
      <w:tr>
        <w:trPr>
          <w:trHeight w:val="162"/>
        </w:trPr>
        <w:tc>
          <w:tcPr>
            <w:tcW w:w="466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Segment profit (loss):</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60" w:type="dxa"/>
            <w:vAlign w:val="bottom"/>
          </w:tcPr>
          <w:p>
            <w:pPr>
              <w:ind w:left="240"/>
              <w:spacing w:after="0"/>
              <w:rPr>
                <w:sz w:val="20"/>
                <w:szCs w:val="20"/>
                <w:color w:val="auto"/>
              </w:rPr>
            </w:pPr>
            <w:r>
              <w:rPr>
                <w:rFonts w:ascii="Arial" w:cs="Arial" w:eastAsia="Arial" w:hAnsi="Arial"/>
                <w:sz w:val="13"/>
                <w:szCs w:val="13"/>
                <w:color w:val="auto"/>
              </w:rPr>
              <w:t>Medicare - Internal</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46,443</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22.8 %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41,735</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29.6 %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4,708</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11.3 %</w:t>
            </w:r>
          </w:p>
        </w:tc>
        <w:tc>
          <w:tcPr>
            <w:tcW w:w="0" w:type="dxa"/>
            <w:vAlign w:val="bottom"/>
          </w:tcPr>
          <w:p>
            <w:pPr>
              <w:spacing w:after="0"/>
              <w:rPr>
                <w:sz w:val="1"/>
                <w:szCs w:val="1"/>
                <w:color w:val="auto"/>
              </w:rPr>
            </w:pPr>
          </w:p>
        </w:tc>
      </w:tr>
      <w:tr>
        <w:trPr>
          <w:trHeight w:val="183"/>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Medicare - External</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(631)</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96.0 %</w:t>
            </w:r>
          </w:p>
        </w:tc>
        <w:tc>
          <w:tcPr>
            <w:tcW w:w="0" w:type="dxa"/>
            <w:vAlign w:val="bottom"/>
          </w:tcPr>
          <w:p>
            <w:pPr>
              <w:spacing w:after="0"/>
              <w:rPr>
                <w:sz w:val="1"/>
                <w:szCs w:val="1"/>
                <w:color w:val="auto"/>
              </w:rPr>
            </w:pPr>
          </w:p>
        </w:tc>
      </w:tr>
      <w:tr>
        <w:trPr>
          <w:trHeight w:val="167"/>
        </w:trPr>
        <w:tc>
          <w:tcPr>
            <w:tcW w:w="4660" w:type="dxa"/>
            <w:vAlign w:val="bottom"/>
          </w:tcPr>
          <w:p>
            <w:pPr>
              <w:ind w:left="240"/>
              <w:spacing w:after="0"/>
              <w:rPr>
                <w:sz w:val="20"/>
                <w:szCs w:val="20"/>
                <w:color w:val="auto"/>
              </w:rPr>
            </w:pPr>
            <w:r>
              <w:rPr>
                <w:rFonts w:ascii="Arial" w:cs="Arial" w:eastAsia="Arial" w:hAnsi="Arial"/>
                <w:sz w:val="13"/>
                <w:szCs w:val="13"/>
                <w:color w:val="auto"/>
              </w:rPr>
              <w:t>IFP and Other - Internal</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(729)</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481</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0.3 %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(1,210)</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84"/>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IFP and Other - External</w:t>
            </w:r>
          </w:p>
        </w:tc>
        <w:tc>
          <w:tcPr>
            <w:tcW w:w="2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w:t>
            </w:r>
          </w:p>
        </w:tc>
        <w:tc>
          <w:tcPr>
            <w:tcW w:w="8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0.1 %</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512</w:t>
            </w: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0.4 %</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(352)</w:t>
            </w: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(68.8)%</w:t>
            </w:r>
          </w:p>
        </w:tc>
        <w:tc>
          <w:tcPr>
            <w:tcW w:w="0" w:type="dxa"/>
            <w:vAlign w:val="bottom"/>
          </w:tcPr>
          <w:p>
            <w:pPr>
              <w:spacing w:after="0"/>
              <w:rPr>
                <w:sz w:val="1"/>
                <w:szCs w:val="1"/>
                <w:color w:val="auto"/>
              </w:rPr>
            </w:pPr>
          </w:p>
        </w:tc>
      </w:tr>
      <w:tr>
        <w:trPr>
          <w:trHeight w:val="163"/>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Segment profit</w:t>
            </w: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45,243</w:t>
            </w: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22.2 %</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42,406</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30.1 %</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2,837</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6.7 %</w:t>
            </w:r>
          </w:p>
        </w:tc>
        <w:tc>
          <w:tcPr>
            <w:tcW w:w="0" w:type="dxa"/>
            <w:vAlign w:val="bottom"/>
          </w:tcPr>
          <w:p>
            <w:pPr>
              <w:spacing w:after="0"/>
              <w:rPr>
                <w:sz w:val="1"/>
                <w:szCs w:val="1"/>
                <w:color w:val="auto"/>
              </w:rPr>
            </w:pPr>
          </w:p>
        </w:tc>
      </w:tr>
      <w:tr>
        <w:trPr>
          <w:trHeight w:val="175"/>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Corporate expense</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20,327</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8,665</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11,662</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134.6 %</w:t>
            </w:r>
          </w:p>
        </w:tc>
        <w:tc>
          <w:tcPr>
            <w:tcW w:w="0" w:type="dxa"/>
            <w:vAlign w:val="bottom"/>
          </w:tcPr>
          <w:p>
            <w:pPr>
              <w:spacing w:after="0"/>
              <w:rPr>
                <w:sz w:val="1"/>
                <w:szCs w:val="1"/>
                <w:color w:val="auto"/>
              </w:rPr>
            </w:pPr>
          </w:p>
        </w:tc>
      </w:tr>
      <w:tr>
        <w:trPr>
          <w:trHeight w:val="168"/>
        </w:trPr>
        <w:tc>
          <w:tcPr>
            <w:tcW w:w="4660" w:type="dxa"/>
            <w:vAlign w:val="bottom"/>
          </w:tcPr>
          <w:p>
            <w:pPr>
              <w:ind w:left="240"/>
              <w:spacing w:after="0"/>
              <w:rPr>
                <w:sz w:val="20"/>
                <w:szCs w:val="20"/>
                <w:color w:val="auto"/>
              </w:rPr>
            </w:pPr>
            <w:r>
              <w:rPr>
                <w:rFonts w:ascii="Arial" w:cs="Arial" w:eastAsia="Arial" w:hAnsi="Arial"/>
                <w:sz w:val="13"/>
                <w:szCs w:val="13"/>
                <w:color w:val="auto"/>
              </w:rPr>
              <w:t>Change in fair value of contingent consideration liability</w:t>
            </w:r>
          </w:p>
        </w:tc>
        <w:tc>
          <w:tcPr>
            <w:tcW w:w="2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4,400</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3.1 %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(4,400)</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83"/>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Amortization of intangible assets</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23,514</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23,514</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67"/>
        </w:trPr>
        <w:tc>
          <w:tcPr>
            <w:tcW w:w="4660" w:type="dxa"/>
            <w:vAlign w:val="bottom"/>
          </w:tcPr>
          <w:p>
            <w:pPr>
              <w:ind w:left="240"/>
              <w:spacing w:after="0"/>
              <w:rPr>
                <w:sz w:val="20"/>
                <w:szCs w:val="20"/>
                <w:color w:val="auto"/>
              </w:rPr>
            </w:pPr>
            <w:r>
              <w:rPr>
                <w:rFonts w:ascii="Arial" w:cs="Arial" w:eastAsia="Arial" w:hAnsi="Arial"/>
                <w:sz w:val="13"/>
                <w:szCs w:val="13"/>
                <w:color w:val="auto"/>
              </w:rPr>
              <w:t>Interest expense</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8,688</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4.3 %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6,756</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4.8 %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1,932</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28.6 %</w:t>
            </w:r>
          </w:p>
        </w:tc>
        <w:tc>
          <w:tcPr>
            <w:tcW w:w="0" w:type="dxa"/>
            <w:vAlign w:val="bottom"/>
          </w:tcPr>
          <w:p>
            <w:pPr>
              <w:spacing w:after="0"/>
              <w:rPr>
                <w:sz w:val="1"/>
                <w:szCs w:val="1"/>
                <w:color w:val="auto"/>
              </w:rPr>
            </w:pPr>
          </w:p>
        </w:tc>
      </w:tr>
      <w:tr>
        <w:trPr>
          <w:trHeight w:val="177"/>
        </w:trPr>
        <w:tc>
          <w:tcPr>
            <w:tcW w:w="46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(income) expense</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30.0 %</w:t>
            </w:r>
          </w:p>
        </w:tc>
        <w:tc>
          <w:tcPr>
            <w:tcW w:w="0" w:type="dxa"/>
            <w:vAlign w:val="bottom"/>
          </w:tcPr>
          <w:p>
            <w:pPr>
              <w:spacing w:after="0"/>
              <w:rPr>
                <w:sz w:val="1"/>
                <w:szCs w:val="1"/>
                <w:color w:val="auto"/>
              </w:rPr>
            </w:pPr>
          </w:p>
        </w:tc>
      </w:tr>
      <w:tr>
        <w:trPr>
          <w:trHeight w:val="176"/>
        </w:trPr>
        <w:tc>
          <w:tcPr>
            <w:tcW w:w="4660" w:type="dxa"/>
            <w:vAlign w:val="bottom"/>
          </w:tcPr>
          <w:p>
            <w:pPr>
              <w:ind w:left="20"/>
              <w:spacing w:after="0"/>
              <w:rPr>
                <w:sz w:val="20"/>
                <w:szCs w:val="20"/>
                <w:color w:val="auto"/>
              </w:rPr>
            </w:pPr>
            <w:r>
              <w:rPr>
                <w:rFonts w:ascii="Arial" w:cs="Arial" w:eastAsia="Arial" w:hAnsi="Arial"/>
                <w:sz w:val="13"/>
                <w:szCs w:val="13"/>
                <w:b w:val="1"/>
                <w:bCs w:val="1"/>
                <w:color w:val="auto"/>
              </w:rPr>
              <w:t>Income (loss) before income taxes</w:t>
            </w: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(7,299)</w:t>
            </w:r>
          </w:p>
        </w:tc>
        <w:tc>
          <w:tcPr>
            <w:tcW w:w="8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(3.6)%</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(939)</w:t>
            </w:r>
          </w:p>
        </w:tc>
        <w:tc>
          <w:tcPr>
            <w:tcW w:w="10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(0.7)%</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(6,360)</w:t>
            </w:r>
          </w:p>
        </w:tc>
        <w:tc>
          <w:tcPr>
            <w:tcW w:w="10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677.3 %</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rPr>
          <w:sz w:val="20"/>
          <w:szCs w:val="20"/>
          <w:color w:val="auto"/>
        </w:rPr>
      </w:pPr>
      <w:r>
        <w:rPr>
          <w:rFonts w:ascii="Arial" w:cs="Arial" w:eastAsia="Arial" w:hAnsi="Arial"/>
          <w:sz w:val="13"/>
          <w:szCs w:val="13"/>
          <w:i w:val="1"/>
          <w:iCs w:val="1"/>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789" w:right="339" w:bottom="1440" w:gutter="0" w:footer="0" w:header="0"/>
        </w:sectPr>
      </w:pPr>
    </w:p>
    <w:bookmarkStart w:id="12" w:name="page13"/>
    <w:bookmarkEnd w:id="12"/>
    <w:p>
      <w:pPr>
        <w:ind w:right="100"/>
        <w:spacing w:after="0" w:line="260" w:lineRule="auto"/>
        <w:rPr>
          <w:sz w:val="20"/>
          <w:szCs w:val="20"/>
          <w:color w:val="auto"/>
        </w:rPr>
      </w:pPr>
      <w:r>
        <w:rPr>
          <w:rFonts w:ascii="Arial" w:cs="Arial" w:eastAsia="Arial" w:hAnsi="Arial"/>
          <w:sz w:val="16"/>
          <w:szCs w:val="16"/>
          <w:color w:val="auto"/>
        </w:rPr>
        <w:t>The following table presents the number of Submitted Policies by product for the Medicare segments for the three months ended March 31, 2021 and 2020, for those submissions that are commissionable (compensated through commissions received from carriers):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940" w:type="dxa"/>
            <w:vAlign w:val="bottom"/>
          </w:tcPr>
          <w:p>
            <w:pPr>
              <w:spacing w:after="0"/>
              <w:rPr>
                <w:sz w:val="13"/>
                <w:szCs w:val="13"/>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Three months</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5"/>
              </w:rPr>
              <w:t>Three months</w:t>
            </w:r>
          </w:p>
        </w:tc>
        <w:tc>
          <w:tcPr>
            <w:tcW w:w="0" w:type="dxa"/>
            <w:vAlign w:val="bottom"/>
          </w:tcPr>
          <w:p>
            <w:pPr>
              <w:spacing w:after="0"/>
              <w:rPr>
                <w:sz w:val="1"/>
                <w:szCs w:val="1"/>
                <w:color w:val="auto"/>
              </w:rPr>
            </w:pPr>
          </w:p>
        </w:tc>
      </w:tr>
      <w:tr>
        <w:trPr>
          <w:trHeight w:val="122"/>
        </w:trPr>
        <w:tc>
          <w:tcPr>
            <w:tcW w:w="89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Medicare - Total Commissionable Submitted Policies</w:t>
            </w:r>
          </w:p>
        </w:tc>
        <w:tc>
          <w:tcPr>
            <w:tcW w:w="120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5"/>
              </w:rPr>
              <w:t>ended Mar. 31,</w:t>
            </w:r>
          </w:p>
        </w:tc>
        <w:tc>
          <w:tcPr>
            <w:tcW w:w="11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ended Mar. 31,</w:t>
            </w:r>
          </w:p>
        </w:tc>
        <w:tc>
          <w:tcPr>
            <w:tcW w:w="0" w:type="dxa"/>
            <w:vAlign w:val="bottom"/>
          </w:tcPr>
          <w:p>
            <w:pPr>
              <w:spacing w:after="0"/>
              <w:rPr>
                <w:sz w:val="1"/>
                <w:szCs w:val="1"/>
                <w:color w:val="auto"/>
              </w:rPr>
            </w:pPr>
          </w:p>
        </w:tc>
      </w:tr>
      <w:tr>
        <w:trPr>
          <w:trHeight w:val="172"/>
        </w:trPr>
        <w:tc>
          <w:tcPr>
            <w:tcW w:w="8940" w:type="dxa"/>
            <w:vAlign w:val="bottom"/>
            <w:tcBorders>
              <w:bottom w:val="single" w:sz="8" w:color="CCEEFF"/>
            </w:tcBorders>
            <w:vMerge w:val="continue"/>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172"/>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Medicare Advantage</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172,874</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117,312</w:t>
            </w:r>
          </w:p>
        </w:tc>
        <w:tc>
          <w:tcPr>
            <w:tcW w:w="0" w:type="dxa"/>
            <w:vAlign w:val="bottom"/>
          </w:tcPr>
          <w:p>
            <w:pPr>
              <w:spacing w:after="0"/>
              <w:rPr>
                <w:sz w:val="1"/>
                <w:szCs w:val="1"/>
                <w:color w:val="auto"/>
              </w:rPr>
            </w:pPr>
          </w:p>
        </w:tc>
      </w:tr>
      <w:tr>
        <w:trPr>
          <w:trHeight w:val="168"/>
        </w:trPr>
        <w:tc>
          <w:tcPr>
            <w:tcW w:w="8940" w:type="dxa"/>
            <w:vAlign w:val="bottom"/>
          </w:tcPr>
          <w:p>
            <w:pPr>
              <w:ind w:left="20"/>
              <w:spacing w:after="0"/>
              <w:rPr>
                <w:sz w:val="20"/>
                <w:szCs w:val="20"/>
                <w:color w:val="auto"/>
              </w:rPr>
            </w:pPr>
            <w:r>
              <w:rPr>
                <w:rFonts w:ascii="Arial" w:cs="Arial" w:eastAsia="Arial" w:hAnsi="Arial"/>
                <w:sz w:val="13"/>
                <w:szCs w:val="13"/>
                <w:color w:val="auto"/>
              </w:rPr>
              <w:t>Medicare Supplement</w:t>
            </w:r>
          </w:p>
        </w:tc>
        <w:tc>
          <w:tcPr>
            <w:tcW w:w="1100" w:type="dxa"/>
            <w:vAlign w:val="bottom"/>
          </w:tcPr>
          <w:p>
            <w:pPr>
              <w:jc w:val="right"/>
              <w:spacing w:after="0"/>
              <w:rPr>
                <w:sz w:val="20"/>
                <w:szCs w:val="20"/>
                <w:color w:val="auto"/>
              </w:rPr>
            </w:pPr>
            <w:r>
              <w:rPr>
                <w:rFonts w:ascii="Arial" w:cs="Arial" w:eastAsia="Arial" w:hAnsi="Arial"/>
                <w:sz w:val="13"/>
                <w:szCs w:val="13"/>
                <w:color w:val="auto"/>
              </w:rPr>
              <w:t>1,104</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2,671</w:t>
            </w:r>
          </w:p>
        </w:tc>
        <w:tc>
          <w:tcPr>
            <w:tcW w:w="0" w:type="dxa"/>
            <w:vAlign w:val="bottom"/>
          </w:tcPr>
          <w:p>
            <w:pPr>
              <w:spacing w:after="0"/>
              <w:rPr>
                <w:sz w:val="1"/>
                <w:szCs w:val="1"/>
                <w:color w:val="auto"/>
              </w:rPr>
            </w:pPr>
          </w:p>
        </w:tc>
      </w:tr>
      <w:tr>
        <w:trPr>
          <w:trHeight w:val="177"/>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Prescription Drug Plans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2,593</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2,494</w:t>
            </w:r>
          </w:p>
        </w:tc>
        <w:tc>
          <w:tcPr>
            <w:tcW w:w="0" w:type="dxa"/>
            <w:vAlign w:val="bottom"/>
          </w:tcPr>
          <w:p>
            <w:pPr>
              <w:spacing w:after="0"/>
              <w:rPr>
                <w:sz w:val="1"/>
                <w:szCs w:val="1"/>
                <w:color w:val="auto"/>
              </w:rPr>
            </w:pPr>
          </w:p>
        </w:tc>
      </w:tr>
      <w:tr>
        <w:trPr>
          <w:trHeight w:val="176"/>
        </w:trPr>
        <w:tc>
          <w:tcPr>
            <w:tcW w:w="8940" w:type="dxa"/>
            <w:vAlign w:val="bottom"/>
          </w:tcPr>
          <w:p>
            <w:pPr>
              <w:ind w:left="20"/>
              <w:spacing w:after="0"/>
              <w:rPr>
                <w:sz w:val="20"/>
                <w:szCs w:val="20"/>
                <w:color w:val="auto"/>
              </w:rPr>
            </w:pPr>
            <w:r>
              <w:rPr>
                <w:rFonts w:ascii="Arial" w:cs="Arial" w:eastAsia="Arial" w:hAnsi="Arial"/>
                <w:sz w:val="13"/>
                <w:szCs w:val="13"/>
                <w:b w:val="1"/>
                <w:bCs w:val="1"/>
                <w:color w:val="auto"/>
              </w:rPr>
              <w:t>Total Medicare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176,571</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122,477</w:t>
            </w:r>
          </w:p>
        </w:tc>
        <w:tc>
          <w:tcPr>
            <w:tcW w:w="0" w:type="dxa"/>
            <w:vAlign w:val="bottom"/>
          </w:tcPr>
          <w:p>
            <w:pPr>
              <w:spacing w:after="0"/>
              <w:rPr>
                <w:sz w:val="1"/>
                <w:szCs w:val="1"/>
                <w:color w:val="auto"/>
              </w:rPr>
            </w:pPr>
          </w:p>
        </w:tc>
      </w:tr>
      <w:tr>
        <w:trPr>
          <w:trHeight w:val="21"/>
        </w:trPr>
        <w:tc>
          <w:tcPr>
            <w:tcW w:w="89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The following tables present the number of Approved Submissions by product relating to commissionable policies for the Medicare segments for three months ended March 31, 2021 and 2020. Only commissionable policies are used to calculate LTV.</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940" w:type="dxa"/>
            <w:vAlign w:val="bottom"/>
          </w:tcPr>
          <w:p>
            <w:pPr>
              <w:spacing w:after="0"/>
              <w:rPr>
                <w:sz w:val="13"/>
                <w:szCs w:val="13"/>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Three months</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5"/>
              </w:rPr>
              <w:t>Three months</w:t>
            </w:r>
          </w:p>
        </w:tc>
        <w:tc>
          <w:tcPr>
            <w:tcW w:w="0" w:type="dxa"/>
            <w:vAlign w:val="bottom"/>
          </w:tcPr>
          <w:p>
            <w:pPr>
              <w:spacing w:after="0"/>
              <w:rPr>
                <w:sz w:val="1"/>
                <w:szCs w:val="1"/>
                <w:color w:val="auto"/>
              </w:rPr>
            </w:pPr>
          </w:p>
        </w:tc>
      </w:tr>
      <w:tr>
        <w:trPr>
          <w:trHeight w:val="122"/>
        </w:trPr>
        <w:tc>
          <w:tcPr>
            <w:tcW w:w="89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Medicare - Internal Commissionable Approved Submissions</w:t>
            </w:r>
          </w:p>
        </w:tc>
        <w:tc>
          <w:tcPr>
            <w:tcW w:w="120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5"/>
              </w:rPr>
              <w:t>ended Mar. 31,</w:t>
            </w:r>
          </w:p>
        </w:tc>
        <w:tc>
          <w:tcPr>
            <w:tcW w:w="11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ended Mar. 31,</w:t>
            </w:r>
          </w:p>
        </w:tc>
        <w:tc>
          <w:tcPr>
            <w:tcW w:w="0" w:type="dxa"/>
            <w:vAlign w:val="bottom"/>
          </w:tcPr>
          <w:p>
            <w:pPr>
              <w:spacing w:after="0"/>
              <w:rPr>
                <w:sz w:val="1"/>
                <w:szCs w:val="1"/>
                <w:color w:val="auto"/>
              </w:rPr>
            </w:pPr>
          </w:p>
        </w:tc>
      </w:tr>
      <w:tr>
        <w:trPr>
          <w:trHeight w:val="173"/>
        </w:trPr>
        <w:tc>
          <w:tcPr>
            <w:tcW w:w="8940" w:type="dxa"/>
            <w:vAlign w:val="bottom"/>
            <w:tcBorders>
              <w:bottom w:val="single" w:sz="8" w:color="CCEEFF"/>
            </w:tcBorders>
            <w:vMerge w:val="continue"/>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172"/>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Medicare Advantage</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128,886</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83,608</w:t>
            </w:r>
          </w:p>
        </w:tc>
        <w:tc>
          <w:tcPr>
            <w:tcW w:w="0" w:type="dxa"/>
            <w:vAlign w:val="bottom"/>
          </w:tcPr>
          <w:p>
            <w:pPr>
              <w:spacing w:after="0"/>
              <w:rPr>
                <w:sz w:val="1"/>
                <w:szCs w:val="1"/>
                <w:color w:val="auto"/>
              </w:rPr>
            </w:pPr>
          </w:p>
        </w:tc>
      </w:tr>
      <w:tr>
        <w:trPr>
          <w:trHeight w:val="168"/>
        </w:trPr>
        <w:tc>
          <w:tcPr>
            <w:tcW w:w="8940" w:type="dxa"/>
            <w:vAlign w:val="bottom"/>
          </w:tcPr>
          <w:p>
            <w:pPr>
              <w:ind w:left="20"/>
              <w:spacing w:after="0"/>
              <w:rPr>
                <w:sz w:val="20"/>
                <w:szCs w:val="20"/>
                <w:color w:val="auto"/>
              </w:rPr>
            </w:pPr>
            <w:r>
              <w:rPr>
                <w:rFonts w:ascii="Arial" w:cs="Arial" w:eastAsia="Arial" w:hAnsi="Arial"/>
                <w:sz w:val="13"/>
                <w:szCs w:val="13"/>
                <w:color w:val="auto"/>
              </w:rPr>
              <w:t>Medicare Supplement</w:t>
            </w:r>
          </w:p>
        </w:tc>
        <w:tc>
          <w:tcPr>
            <w:tcW w:w="1100" w:type="dxa"/>
            <w:vAlign w:val="bottom"/>
          </w:tcPr>
          <w:p>
            <w:pPr>
              <w:jc w:val="right"/>
              <w:spacing w:after="0"/>
              <w:rPr>
                <w:sz w:val="20"/>
                <w:szCs w:val="20"/>
                <w:color w:val="auto"/>
              </w:rPr>
            </w:pPr>
            <w:r>
              <w:rPr>
                <w:rFonts w:ascii="Arial" w:cs="Arial" w:eastAsia="Arial" w:hAnsi="Arial"/>
                <w:sz w:val="13"/>
                <w:szCs w:val="13"/>
                <w:color w:val="auto"/>
              </w:rPr>
              <w:t>251</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822</w:t>
            </w:r>
          </w:p>
        </w:tc>
        <w:tc>
          <w:tcPr>
            <w:tcW w:w="0" w:type="dxa"/>
            <w:vAlign w:val="bottom"/>
          </w:tcPr>
          <w:p>
            <w:pPr>
              <w:spacing w:after="0"/>
              <w:rPr>
                <w:sz w:val="1"/>
                <w:szCs w:val="1"/>
                <w:color w:val="auto"/>
              </w:rPr>
            </w:pPr>
          </w:p>
        </w:tc>
      </w:tr>
      <w:tr>
        <w:trPr>
          <w:trHeight w:val="177"/>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Prescription Drug Plans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2,284</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2,174</w:t>
            </w:r>
          </w:p>
        </w:tc>
        <w:tc>
          <w:tcPr>
            <w:tcW w:w="0" w:type="dxa"/>
            <w:vAlign w:val="bottom"/>
          </w:tcPr>
          <w:p>
            <w:pPr>
              <w:spacing w:after="0"/>
              <w:rPr>
                <w:sz w:val="1"/>
                <w:szCs w:val="1"/>
                <w:color w:val="auto"/>
              </w:rPr>
            </w:pPr>
          </w:p>
        </w:tc>
      </w:tr>
      <w:tr>
        <w:trPr>
          <w:trHeight w:val="175"/>
        </w:trPr>
        <w:tc>
          <w:tcPr>
            <w:tcW w:w="8940" w:type="dxa"/>
            <w:vAlign w:val="bottom"/>
          </w:tcPr>
          <w:p>
            <w:pPr>
              <w:ind w:left="20"/>
              <w:spacing w:after="0"/>
              <w:rPr>
                <w:sz w:val="20"/>
                <w:szCs w:val="20"/>
                <w:color w:val="auto"/>
              </w:rPr>
            </w:pPr>
            <w:r>
              <w:rPr>
                <w:rFonts w:ascii="Arial" w:cs="Arial" w:eastAsia="Arial" w:hAnsi="Arial"/>
                <w:sz w:val="13"/>
                <w:szCs w:val="13"/>
                <w:b w:val="1"/>
                <w:bCs w:val="1"/>
                <w:color w:val="auto"/>
              </w:rPr>
              <w:t>Total Medicare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131,421</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86,604</w:t>
            </w:r>
          </w:p>
        </w:tc>
        <w:tc>
          <w:tcPr>
            <w:tcW w:w="0" w:type="dxa"/>
            <w:vAlign w:val="bottom"/>
          </w:tcPr>
          <w:p>
            <w:pPr>
              <w:spacing w:after="0"/>
              <w:rPr>
                <w:sz w:val="1"/>
                <w:szCs w:val="1"/>
                <w:color w:val="auto"/>
              </w:rPr>
            </w:pPr>
          </w:p>
        </w:tc>
      </w:tr>
      <w:tr>
        <w:trPr>
          <w:trHeight w:val="21"/>
        </w:trPr>
        <w:tc>
          <w:tcPr>
            <w:tcW w:w="89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8940" w:type="dxa"/>
            <w:vAlign w:val="bottom"/>
          </w:tcPr>
          <w:p>
            <w:pPr>
              <w:spacing w:after="0"/>
              <w:rPr>
                <w:sz w:val="24"/>
                <w:szCs w:val="2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Three months</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5"/>
              </w:rPr>
              <w:t>Three months</w:t>
            </w:r>
          </w:p>
        </w:tc>
        <w:tc>
          <w:tcPr>
            <w:tcW w:w="0" w:type="dxa"/>
            <w:vAlign w:val="bottom"/>
          </w:tcPr>
          <w:p>
            <w:pPr>
              <w:spacing w:after="0"/>
              <w:rPr>
                <w:sz w:val="1"/>
                <w:szCs w:val="1"/>
                <w:color w:val="auto"/>
              </w:rPr>
            </w:pPr>
          </w:p>
        </w:tc>
      </w:tr>
      <w:tr>
        <w:trPr>
          <w:trHeight w:val="122"/>
        </w:trPr>
        <w:tc>
          <w:tcPr>
            <w:tcW w:w="89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Medicare - External Commissionable Approved Submissions</w:t>
            </w:r>
          </w:p>
        </w:tc>
        <w:tc>
          <w:tcPr>
            <w:tcW w:w="120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5"/>
              </w:rPr>
              <w:t>ended Mar. 31,</w:t>
            </w:r>
          </w:p>
        </w:tc>
        <w:tc>
          <w:tcPr>
            <w:tcW w:w="11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ended Mar. 31,</w:t>
            </w:r>
          </w:p>
        </w:tc>
        <w:tc>
          <w:tcPr>
            <w:tcW w:w="0" w:type="dxa"/>
            <w:vAlign w:val="bottom"/>
          </w:tcPr>
          <w:p>
            <w:pPr>
              <w:spacing w:after="0"/>
              <w:rPr>
                <w:sz w:val="1"/>
                <w:szCs w:val="1"/>
                <w:color w:val="auto"/>
              </w:rPr>
            </w:pPr>
          </w:p>
        </w:tc>
      </w:tr>
      <w:tr>
        <w:trPr>
          <w:trHeight w:val="173"/>
        </w:trPr>
        <w:tc>
          <w:tcPr>
            <w:tcW w:w="8940" w:type="dxa"/>
            <w:vAlign w:val="bottom"/>
            <w:tcBorders>
              <w:bottom w:val="single" w:sz="8" w:color="CCEEFF"/>
            </w:tcBorders>
            <w:vMerge w:val="continue"/>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172"/>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Medicare Advantage</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42,241</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32,287</w:t>
            </w:r>
          </w:p>
        </w:tc>
        <w:tc>
          <w:tcPr>
            <w:tcW w:w="0" w:type="dxa"/>
            <w:vAlign w:val="bottom"/>
          </w:tcPr>
          <w:p>
            <w:pPr>
              <w:spacing w:after="0"/>
              <w:rPr>
                <w:sz w:val="1"/>
                <w:szCs w:val="1"/>
                <w:color w:val="auto"/>
              </w:rPr>
            </w:pPr>
          </w:p>
        </w:tc>
      </w:tr>
      <w:tr>
        <w:trPr>
          <w:trHeight w:val="168"/>
        </w:trPr>
        <w:tc>
          <w:tcPr>
            <w:tcW w:w="8940" w:type="dxa"/>
            <w:vAlign w:val="bottom"/>
          </w:tcPr>
          <w:p>
            <w:pPr>
              <w:ind w:left="20"/>
              <w:spacing w:after="0"/>
              <w:rPr>
                <w:sz w:val="20"/>
                <w:szCs w:val="20"/>
                <w:color w:val="auto"/>
              </w:rPr>
            </w:pPr>
            <w:r>
              <w:rPr>
                <w:rFonts w:ascii="Arial" w:cs="Arial" w:eastAsia="Arial" w:hAnsi="Arial"/>
                <w:sz w:val="13"/>
                <w:szCs w:val="13"/>
                <w:color w:val="auto"/>
              </w:rPr>
              <w:t>Medicare Supplement</w:t>
            </w:r>
          </w:p>
        </w:tc>
        <w:tc>
          <w:tcPr>
            <w:tcW w:w="1100" w:type="dxa"/>
            <w:vAlign w:val="bottom"/>
          </w:tcPr>
          <w:p>
            <w:pPr>
              <w:jc w:val="right"/>
              <w:spacing w:after="0"/>
              <w:rPr>
                <w:sz w:val="20"/>
                <w:szCs w:val="20"/>
                <w:color w:val="auto"/>
              </w:rPr>
            </w:pPr>
            <w:r>
              <w:rPr>
                <w:rFonts w:ascii="Arial" w:cs="Arial" w:eastAsia="Arial" w:hAnsi="Arial"/>
                <w:sz w:val="13"/>
                <w:szCs w:val="13"/>
                <w:color w:val="auto"/>
              </w:rPr>
              <w:t>731</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1,558</w:t>
            </w:r>
          </w:p>
        </w:tc>
        <w:tc>
          <w:tcPr>
            <w:tcW w:w="0" w:type="dxa"/>
            <w:vAlign w:val="bottom"/>
          </w:tcPr>
          <w:p>
            <w:pPr>
              <w:spacing w:after="0"/>
              <w:rPr>
                <w:sz w:val="1"/>
                <w:szCs w:val="1"/>
                <w:color w:val="auto"/>
              </w:rPr>
            </w:pPr>
          </w:p>
        </w:tc>
      </w:tr>
      <w:tr>
        <w:trPr>
          <w:trHeight w:val="177"/>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Prescription Drug Plans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289</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481</w:t>
            </w:r>
          </w:p>
        </w:tc>
        <w:tc>
          <w:tcPr>
            <w:tcW w:w="0" w:type="dxa"/>
            <w:vAlign w:val="bottom"/>
          </w:tcPr>
          <w:p>
            <w:pPr>
              <w:spacing w:after="0"/>
              <w:rPr>
                <w:sz w:val="1"/>
                <w:szCs w:val="1"/>
                <w:color w:val="auto"/>
              </w:rPr>
            </w:pPr>
          </w:p>
        </w:tc>
      </w:tr>
      <w:tr>
        <w:trPr>
          <w:trHeight w:val="175"/>
        </w:trPr>
        <w:tc>
          <w:tcPr>
            <w:tcW w:w="8940" w:type="dxa"/>
            <w:vAlign w:val="bottom"/>
          </w:tcPr>
          <w:p>
            <w:pPr>
              <w:ind w:left="20"/>
              <w:spacing w:after="0"/>
              <w:rPr>
                <w:sz w:val="20"/>
                <w:szCs w:val="20"/>
                <w:color w:val="auto"/>
              </w:rPr>
            </w:pPr>
            <w:r>
              <w:rPr>
                <w:rFonts w:ascii="Arial" w:cs="Arial" w:eastAsia="Arial" w:hAnsi="Arial"/>
                <w:sz w:val="13"/>
                <w:szCs w:val="13"/>
                <w:b w:val="1"/>
                <w:bCs w:val="1"/>
                <w:color w:val="auto"/>
              </w:rPr>
              <w:t>Total Medicare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43,261</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34,326</w:t>
            </w:r>
          </w:p>
        </w:tc>
        <w:tc>
          <w:tcPr>
            <w:tcW w:w="0" w:type="dxa"/>
            <w:vAlign w:val="bottom"/>
          </w:tcPr>
          <w:p>
            <w:pPr>
              <w:spacing w:after="0"/>
              <w:rPr>
                <w:sz w:val="1"/>
                <w:szCs w:val="1"/>
                <w:color w:val="auto"/>
              </w:rPr>
            </w:pPr>
          </w:p>
        </w:tc>
      </w:tr>
      <w:tr>
        <w:trPr>
          <w:trHeight w:val="21"/>
        </w:trPr>
        <w:tc>
          <w:tcPr>
            <w:tcW w:w="89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LTV per Approved Submission by product for the Medicare segments for the three months ended March 31, 2021 and 2020:</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b w:val="1"/>
                <w:bCs w:val="1"/>
                <w:color w:val="auto"/>
              </w:rPr>
              <w:t>Three months</w:t>
            </w:r>
          </w:p>
        </w:tc>
        <w:tc>
          <w:tcPr>
            <w:tcW w:w="100" w:type="dxa"/>
            <w:vAlign w:val="bottom"/>
          </w:tcPr>
          <w:p>
            <w:pPr>
              <w:spacing w:after="0"/>
              <w:rPr>
                <w:sz w:val="13"/>
                <w:szCs w:val="13"/>
                <w:color w:val="auto"/>
              </w:rPr>
            </w:pPr>
          </w:p>
        </w:tc>
        <w:tc>
          <w:tcPr>
            <w:tcW w:w="1000" w:type="dxa"/>
            <w:vAlign w:val="bottom"/>
          </w:tcPr>
          <w:p>
            <w:pPr>
              <w:jc w:val="right"/>
              <w:ind w:right="77"/>
              <w:spacing w:after="0"/>
              <w:rPr>
                <w:sz w:val="20"/>
                <w:szCs w:val="20"/>
                <w:color w:val="auto"/>
              </w:rPr>
            </w:pPr>
            <w:r>
              <w:rPr>
                <w:rFonts w:ascii="Arial" w:cs="Arial" w:eastAsia="Arial" w:hAnsi="Arial"/>
                <w:sz w:val="13"/>
                <w:szCs w:val="13"/>
                <w:b w:val="1"/>
                <w:bCs w:val="1"/>
                <w:color w:val="auto"/>
                <w:w w:val="97"/>
              </w:rPr>
              <w:t>Three months</w:t>
            </w:r>
          </w:p>
        </w:tc>
        <w:tc>
          <w:tcPr>
            <w:tcW w:w="0" w:type="dxa"/>
            <w:vAlign w:val="bottom"/>
          </w:tcPr>
          <w:p>
            <w:pPr>
              <w:spacing w:after="0"/>
              <w:rPr>
                <w:sz w:val="1"/>
                <w:szCs w:val="1"/>
                <w:color w:val="auto"/>
              </w:rPr>
            </w:pPr>
          </w:p>
        </w:tc>
      </w:tr>
      <w:tr>
        <w:trPr>
          <w:trHeight w:val="122"/>
        </w:trPr>
        <w:tc>
          <w:tcPr>
            <w:tcW w:w="89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LTV per Approved Submission</w:t>
            </w:r>
          </w:p>
        </w:tc>
        <w:tc>
          <w:tcPr>
            <w:tcW w:w="100" w:type="dxa"/>
            <w:vAlign w:val="bottom"/>
          </w:tcPr>
          <w:p>
            <w:pPr>
              <w:spacing w:after="0"/>
              <w:rPr>
                <w:sz w:val="10"/>
                <w:szCs w:val="10"/>
                <w:color w:val="auto"/>
              </w:rPr>
            </w:pPr>
          </w:p>
        </w:tc>
        <w:tc>
          <w:tcPr>
            <w:tcW w:w="1100" w:type="dxa"/>
            <w:vAlign w:val="bottom"/>
            <w:gridSpan w:val="2"/>
          </w:tcPr>
          <w:p>
            <w:pPr>
              <w:jc w:val="right"/>
              <w:ind w:right="220"/>
              <w:spacing w:after="0" w:line="122" w:lineRule="exact"/>
              <w:rPr>
                <w:sz w:val="20"/>
                <w:szCs w:val="20"/>
                <w:color w:val="auto"/>
              </w:rPr>
            </w:pPr>
            <w:r>
              <w:rPr>
                <w:rFonts w:ascii="Arial" w:cs="Arial" w:eastAsia="Arial" w:hAnsi="Arial"/>
                <w:sz w:val="13"/>
                <w:szCs w:val="13"/>
                <w:b w:val="1"/>
                <w:bCs w:val="1"/>
                <w:color w:val="auto"/>
                <w:w w:val="95"/>
              </w:rPr>
              <w:t>ended Mar. 31,</w:t>
            </w:r>
          </w:p>
        </w:tc>
        <w:tc>
          <w:tcPr>
            <w:tcW w:w="100" w:type="dxa"/>
            <w:vAlign w:val="bottom"/>
          </w:tcPr>
          <w:p>
            <w:pPr>
              <w:spacing w:after="0"/>
              <w:rPr>
                <w:sz w:val="10"/>
                <w:szCs w:val="10"/>
                <w:color w:val="auto"/>
              </w:rPr>
            </w:pPr>
          </w:p>
        </w:tc>
        <w:tc>
          <w:tcPr>
            <w:tcW w:w="1000" w:type="dxa"/>
            <w:vAlign w:val="bottom"/>
          </w:tcPr>
          <w:p>
            <w:pPr>
              <w:jc w:val="right"/>
              <w:ind w:right="57"/>
              <w:spacing w:after="0" w:line="122" w:lineRule="exact"/>
              <w:rPr>
                <w:sz w:val="20"/>
                <w:szCs w:val="20"/>
                <w:color w:val="auto"/>
              </w:rPr>
            </w:pPr>
            <w:r>
              <w:rPr>
                <w:rFonts w:ascii="Arial" w:cs="Arial" w:eastAsia="Arial" w:hAnsi="Arial"/>
                <w:sz w:val="13"/>
                <w:szCs w:val="13"/>
                <w:b w:val="1"/>
                <w:bCs w:val="1"/>
                <w:color w:val="auto"/>
                <w:w w:val="95"/>
              </w:rPr>
              <w:t>ended Mar. 31,</w:t>
            </w:r>
          </w:p>
        </w:tc>
        <w:tc>
          <w:tcPr>
            <w:tcW w:w="0" w:type="dxa"/>
            <w:vAlign w:val="bottom"/>
          </w:tcPr>
          <w:p>
            <w:pPr>
              <w:spacing w:after="0"/>
              <w:rPr>
                <w:sz w:val="1"/>
                <w:szCs w:val="1"/>
                <w:color w:val="auto"/>
              </w:rPr>
            </w:pPr>
          </w:p>
        </w:tc>
      </w:tr>
      <w:tr>
        <w:trPr>
          <w:trHeight w:val="173"/>
        </w:trPr>
        <w:tc>
          <w:tcPr>
            <w:tcW w:w="894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72"/>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Medicare Advantage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995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854</w:t>
            </w:r>
          </w:p>
        </w:tc>
        <w:tc>
          <w:tcPr>
            <w:tcW w:w="0" w:type="dxa"/>
            <w:vAlign w:val="bottom"/>
          </w:tcPr>
          <w:p>
            <w:pPr>
              <w:spacing w:after="0"/>
              <w:rPr>
                <w:sz w:val="1"/>
                <w:szCs w:val="1"/>
                <w:color w:val="auto"/>
              </w:rPr>
            </w:pPr>
          </w:p>
        </w:tc>
      </w:tr>
      <w:tr>
        <w:trPr>
          <w:trHeight w:val="168"/>
        </w:trPr>
        <w:tc>
          <w:tcPr>
            <w:tcW w:w="8940" w:type="dxa"/>
            <w:vAlign w:val="bottom"/>
          </w:tcPr>
          <w:p>
            <w:pPr>
              <w:ind w:left="20"/>
              <w:spacing w:after="0"/>
              <w:rPr>
                <w:sz w:val="20"/>
                <w:szCs w:val="20"/>
                <w:color w:val="auto"/>
              </w:rPr>
            </w:pPr>
            <w:r>
              <w:rPr>
                <w:rFonts w:ascii="Arial" w:cs="Arial" w:eastAsia="Arial" w:hAnsi="Arial"/>
                <w:sz w:val="13"/>
                <w:szCs w:val="13"/>
                <w:color w:val="auto"/>
              </w:rPr>
              <w:t>Medicare Supplement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798</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920</w:t>
            </w:r>
          </w:p>
        </w:tc>
        <w:tc>
          <w:tcPr>
            <w:tcW w:w="0" w:type="dxa"/>
            <w:vAlign w:val="bottom"/>
          </w:tcPr>
          <w:p>
            <w:pPr>
              <w:spacing w:after="0"/>
              <w:rPr>
                <w:sz w:val="1"/>
                <w:szCs w:val="1"/>
                <w:color w:val="auto"/>
              </w:rPr>
            </w:pPr>
          </w:p>
        </w:tc>
      </w:tr>
      <w:tr>
        <w:trPr>
          <w:trHeight w:val="184"/>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Prescription Drug Plans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215</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ind w:right="100"/>
        <w:spacing w:after="0" w:line="260" w:lineRule="auto"/>
        <w:rPr>
          <w:sz w:val="20"/>
          <w:szCs w:val="20"/>
          <w:color w:val="auto"/>
        </w:rPr>
      </w:pPr>
      <w:r>
        <w:rPr>
          <w:rFonts w:ascii="Arial" w:cs="Arial" w:eastAsia="Arial" w:hAnsi="Arial"/>
          <w:sz w:val="16"/>
          <w:szCs w:val="16"/>
          <w:color w:val="auto"/>
        </w:rPr>
        <w:t>The following table presents the number of Submitted Policies by product for the Medicare segments for the three months ended March 31, 2021 and 2020, for those submissions that are non-commissionable (compensated via hourly fees and enrollment fees) and do not result in commission revenue: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940" w:type="dxa"/>
            <w:vAlign w:val="bottom"/>
          </w:tcPr>
          <w:p>
            <w:pPr>
              <w:spacing w:after="0"/>
              <w:rPr>
                <w:sz w:val="12"/>
                <w:szCs w:val="12"/>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Three months</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5"/>
              </w:rPr>
              <w:t>Three months</w:t>
            </w:r>
          </w:p>
        </w:tc>
        <w:tc>
          <w:tcPr>
            <w:tcW w:w="0" w:type="dxa"/>
            <w:vAlign w:val="bottom"/>
          </w:tcPr>
          <w:p>
            <w:pPr>
              <w:spacing w:after="0"/>
              <w:rPr>
                <w:sz w:val="1"/>
                <w:szCs w:val="1"/>
                <w:color w:val="auto"/>
              </w:rPr>
            </w:pPr>
          </w:p>
        </w:tc>
      </w:tr>
      <w:tr>
        <w:trPr>
          <w:trHeight w:val="122"/>
        </w:trPr>
        <w:tc>
          <w:tcPr>
            <w:tcW w:w="89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Medicare - Total Non-Commissionable Submitted Policies</w:t>
            </w:r>
          </w:p>
        </w:tc>
        <w:tc>
          <w:tcPr>
            <w:tcW w:w="120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5"/>
              </w:rPr>
              <w:t>ended Mar. 31,</w:t>
            </w:r>
          </w:p>
        </w:tc>
        <w:tc>
          <w:tcPr>
            <w:tcW w:w="11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ended Mar. 31,</w:t>
            </w:r>
          </w:p>
        </w:tc>
        <w:tc>
          <w:tcPr>
            <w:tcW w:w="0" w:type="dxa"/>
            <w:vAlign w:val="bottom"/>
          </w:tcPr>
          <w:p>
            <w:pPr>
              <w:spacing w:after="0"/>
              <w:rPr>
                <w:sz w:val="1"/>
                <w:szCs w:val="1"/>
                <w:color w:val="auto"/>
              </w:rPr>
            </w:pPr>
          </w:p>
        </w:tc>
      </w:tr>
      <w:tr>
        <w:trPr>
          <w:trHeight w:val="173"/>
        </w:trPr>
        <w:tc>
          <w:tcPr>
            <w:tcW w:w="8940" w:type="dxa"/>
            <w:vAlign w:val="bottom"/>
            <w:tcBorders>
              <w:bottom w:val="single" w:sz="8" w:color="CCEEFF"/>
            </w:tcBorders>
            <w:vMerge w:val="continue"/>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172"/>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Medicare Advantage</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5,939</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6,927</w:t>
            </w:r>
          </w:p>
        </w:tc>
        <w:tc>
          <w:tcPr>
            <w:tcW w:w="0" w:type="dxa"/>
            <w:vAlign w:val="bottom"/>
          </w:tcPr>
          <w:p>
            <w:pPr>
              <w:spacing w:after="0"/>
              <w:rPr>
                <w:sz w:val="1"/>
                <w:szCs w:val="1"/>
                <w:color w:val="auto"/>
              </w:rPr>
            </w:pPr>
          </w:p>
        </w:tc>
      </w:tr>
      <w:tr>
        <w:trPr>
          <w:trHeight w:val="168"/>
        </w:trPr>
        <w:tc>
          <w:tcPr>
            <w:tcW w:w="8940" w:type="dxa"/>
            <w:vAlign w:val="bottom"/>
          </w:tcPr>
          <w:p>
            <w:pPr>
              <w:ind w:left="20"/>
              <w:spacing w:after="0"/>
              <w:rPr>
                <w:sz w:val="20"/>
                <w:szCs w:val="20"/>
                <w:color w:val="auto"/>
              </w:rPr>
            </w:pPr>
            <w:r>
              <w:rPr>
                <w:rFonts w:ascii="Arial" w:cs="Arial" w:eastAsia="Arial" w:hAnsi="Arial"/>
                <w:sz w:val="13"/>
                <w:szCs w:val="13"/>
                <w:color w:val="auto"/>
              </w:rPr>
              <w:t>Medicare Supplement</w:t>
            </w:r>
          </w:p>
        </w:tc>
        <w:tc>
          <w:tcPr>
            <w:tcW w:w="1100" w:type="dxa"/>
            <w:vAlign w:val="bottom"/>
          </w:tcPr>
          <w:p>
            <w:pPr>
              <w:jc w:val="right"/>
              <w:spacing w:after="0"/>
              <w:rPr>
                <w:sz w:val="20"/>
                <w:szCs w:val="20"/>
                <w:color w:val="auto"/>
              </w:rPr>
            </w:pPr>
            <w:r>
              <w:rPr>
                <w:rFonts w:ascii="Arial" w:cs="Arial" w:eastAsia="Arial" w:hAnsi="Arial"/>
                <w:sz w:val="13"/>
                <w:szCs w:val="13"/>
                <w:color w:val="auto"/>
              </w:rPr>
              <w:t>1,650</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1,812</w:t>
            </w:r>
          </w:p>
        </w:tc>
        <w:tc>
          <w:tcPr>
            <w:tcW w:w="0" w:type="dxa"/>
            <w:vAlign w:val="bottom"/>
          </w:tcPr>
          <w:p>
            <w:pPr>
              <w:spacing w:after="0"/>
              <w:rPr>
                <w:sz w:val="1"/>
                <w:szCs w:val="1"/>
                <w:color w:val="auto"/>
              </w:rPr>
            </w:pPr>
          </w:p>
        </w:tc>
      </w:tr>
      <w:tr>
        <w:trPr>
          <w:trHeight w:val="177"/>
        </w:trPr>
        <w:tc>
          <w:tcPr>
            <w:tcW w:w="8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Prescription Drug Plans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885</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798</w:t>
            </w:r>
          </w:p>
        </w:tc>
        <w:tc>
          <w:tcPr>
            <w:tcW w:w="0" w:type="dxa"/>
            <w:vAlign w:val="bottom"/>
          </w:tcPr>
          <w:p>
            <w:pPr>
              <w:spacing w:after="0"/>
              <w:rPr>
                <w:sz w:val="1"/>
                <w:szCs w:val="1"/>
                <w:color w:val="auto"/>
              </w:rPr>
            </w:pPr>
          </w:p>
        </w:tc>
      </w:tr>
      <w:tr>
        <w:trPr>
          <w:trHeight w:val="175"/>
        </w:trPr>
        <w:tc>
          <w:tcPr>
            <w:tcW w:w="8940" w:type="dxa"/>
            <w:vAlign w:val="bottom"/>
          </w:tcPr>
          <w:p>
            <w:pPr>
              <w:ind w:left="20"/>
              <w:spacing w:after="0"/>
              <w:rPr>
                <w:sz w:val="20"/>
                <w:szCs w:val="20"/>
                <w:color w:val="auto"/>
              </w:rPr>
            </w:pPr>
            <w:r>
              <w:rPr>
                <w:rFonts w:ascii="Arial" w:cs="Arial" w:eastAsia="Arial" w:hAnsi="Arial"/>
                <w:sz w:val="13"/>
                <w:szCs w:val="13"/>
                <w:b w:val="1"/>
                <w:bCs w:val="1"/>
                <w:color w:val="auto"/>
              </w:rPr>
              <w:t>Total Medicare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8,474</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9,537</w:t>
            </w:r>
          </w:p>
        </w:tc>
        <w:tc>
          <w:tcPr>
            <w:tcW w:w="0" w:type="dxa"/>
            <w:vAlign w:val="bottom"/>
          </w:tcPr>
          <w:p>
            <w:pPr>
              <w:spacing w:after="0"/>
              <w:rPr>
                <w:sz w:val="1"/>
                <w:szCs w:val="1"/>
                <w:color w:val="auto"/>
              </w:rPr>
            </w:pPr>
          </w:p>
        </w:tc>
      </w:tr>
      <w:tr>
        <w:trPr>
          <w:trHeight w:val="21"/>
        </w:trPr>
        <w:tc>
          <w:tcPr>
            <w:tcW w:w="89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0"/>
        </w:trPr>
        <w:tc>
          <w:tcPr>
            <w:tcW w:w="8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bl>
    <w:p>
      <w:pPr>
        <w:sectPr>
          <w:pgSz w:w="11900" w:h="16838" w:orient="portrait"/>
          <w:cols w:equalWidth="0" w:num="1">
            <w:col w:w="11240"/>
          </w:cols>
          <w:pgMar w:left="320" w:top="897"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The following table presents a reconciliation from net income to non-GAAP Adjusted EBITDA guidance for the twelve months ended December 31, 2021:</w:t>
      </w:r>
    </w:p>
    <w:p>
      <w:pPr>
        <w:spacing w:after="0" w:line="118" w:lineRule="exact"/>
        <w:rPr>
          <w:sz w:val="20"/>
          <w:szCs w:val="20"/>
          <w:color w:val="auto"/>
        </w:rPr>
      </w:pPr>
    </w:p>
    <w:p>
      <w:pPr>
        <w:jc w:val="center"/>
        <w:ind w:left="8700"/>
        <w:spacing w:after="0"/>
        <w:rPr>
          <w:sz w:val="20"/>
          <w:szCs w:val="20"/>
          <w:color w:val="auto"/>
        </w:rPr>
      </w:pPr>
      <w:r>
        <w:rPr>
          <w:rFonts w:ascii="Arial" w:cs="Arial" w:eastAsia="Arial" w:hAnsi="Arial"/>
          <w:sz w:val="13"/>
          <w:szCs w:val="13"/>
          <w:b w:val="1"/>
          <w:bCs w:val="1"/>
          <w:color w:val="auto"/>
        </w:rPr>
        <w:t>Twelve months ended</w:t>
      </w:r>
    </w:p>
    <w:p>
      <w:pPr>
        <w:jc w:val="center"/>
        <w:ind w:left="8700"/>
        <w:spacing w:after="0"/>
        <w:rPr>
          <w:sz w:val="20"/>
          <w:szCs w:val="20"/>
          <w:color w:val="auto"/>
        </w:rPr>
      </w:pPr>
      <w:r>
        <w:rPr>
          <w:rFonts w:ascii="Arial" w:cs="Arial" w:eastAsia="Arial" w:hAnsi="Arial"/>
          <w:sz w:val="13"/>
          <w:szCs w:val="13"/>
          <w:b w:val="1"/>
          <w:bCs w:val="1"/>
          <w:color w:val="auto"/>
        </w:rPr>
        <w:t>Dec. 31, 2021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72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Guidance Range</w:t>
            </w:r>
          </w:p>
        </w:tc>
        <w:tc>
          <w:tcPr>
            <w:tcW w:w="76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720" w:type="dxa"/>
            <w:vAlign w:val="bottom"/>
          </w:tcPr>
          <w:p>
            <w:pPr>
              <w:ind w:left="20"/>
              <w:spacing w:after="0"/>
              <w:rPr>
                <w:sz w:val="20"/>
                <w:szCs w:val="20"/>
                <w:color w:val="auto"/>
              </w:rPr>
            </w:pPr>
            <w:r>
              <w:rPr>
                <w:rFonts w:ascii="Arial" w:cs="Arial" w:eastAsia="Arial" w:hAnsi="Arial"/>
                <w:sz w:val="13"/>
                <w:szCs w:val="13"/>
                <w:color w:val="auto"/>
              </w:rPr>
              <w:t>(in thousands)</w:t>
            </w:r>
          </w:p>
        </w:tc>
        <w:tc>
          <w:tcPr>
            <w:tcW w:w="280" w:type="dxa"/>
            <w:vAlign w:val="bottom"/>
          </w:tcPr>
          <w:p>
            <w:pPr>
              <w:spacing w:after="0"/>
              <w:rPr>
                <w:sz w:val="14"/>
                <w:szCs w:val="14"/>
                <w:color w:val="auto"/>
              </w:rPr>
            </w:pPr>
          </w:p>
        </w:tc>
        <w:tc>
          <w:tcPr>
            <w:tcW w:w="1020" w:type="dxa"/>
            <w:vAlign w:val="bottom"/>
            <w:gridSpan w:val="2"/>
          </w:tcPr>
          <w:p>
            <w:pPr>
              <w:ind w:left="200"/>
              <w:spacing w:after="0"/>
              <w:rPr>
                <w:sz w:val="20"/>
                <w:szCs w:val="20"/>
                <w:color w:val="auto"/>
              </w:rPr>
            </w:pPr>
            <w:r>
              <w:rPr>
                <w:rFonts w:ascii="Arial" w:cs="Arial" w:eastAsia="Arial" w:hAnsi="Arial"/>
                <w:sz w:val="13"/>
                <w:szCs w:val="13"/>
                <w:b w:val="1"/>
                <w:bCs w:val="1"/>
                <w:color w:val="auto"/>
              </w:rPr>
              <w:t>Low</w:t>
            </w:r>
          </w:p>
        </w:tc>
        <w:tc>
          <w:tcPr>
            <w:tcW w:w="460" w:type="dxa"/>
            <w:vAlign w:val="bottom"/>
          </w:tcPr>
          <w:p>
            <w:pPr>
              <w:spacing w:after="0"/>
              <w:rPr>
                <w:sz w:val="14"/>
                <w:szCs w:val="14"/>
                <w:color w:val="auto"/>
              </w:rPr>
            </w:pPr>
          </w:p>
        </w:tc>
        <w:tc>
          <w:tcPr>
            <w:tcW w:w="760" w:type="dxa"/>
            <w:vAlign w:val="bottom"/>
          </w:tcPr>
          <w:p>
            <w:pPr>
              <w:jc w:val="right"/>
              <w:ind w:right="397"/>
              <w:spacing w:after="0"/>
              <w:rPr>
                <w:sz w:val="20"/>
                <w:szCs w:val="20"/>
                <w:color w:val="auto"/>
              </w:rPr>
            </w:pPr>
            <w:r>
              <w:rPr>
                <w:rFonts w:ascii="Arial" w:cs="Arial" w:eastAsia="Arial" w:hAnsi="Arial"/>
                <w:sz w:val="13"/>
                <w:szCs w:val="13"/>
                <w:b w:val="1"/>
                <w:bCs w:val="1"/>
                <w:color w:val="auto"/>
                <w:w w:val="96"/>
              </w:rPr>
              <w:t>High</w:t>
            </w:r>
          </w:p>
        </w:tc>
        <w:tc>
          <w:tcPr>
            <w:tcW w:w="0" w:type="dxa"/>
            <w:vAlign w:val="bottom"/>
          </w:tcPr>
          <w:p>
            <w:pPr>
              <w:spacing w:after="0"/>
              <w:rPr>
                <w:sz w:val="1"/>
                <w:szCs w:val="1"/>
                <w:color w:val="auto"/>
              </w:rPr>
            </w:pPr>
          </w:p>
        </w:tc>
      </w:tr>
      <w:tr>
        <w:trPr>
          <w:trHeight w:val="173"/>
        </w:trPr>
        <w:tc>
          <w:tcPr>
            <w:tcW w:w="8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28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1,150,000</w:t>
            </w:r>
          </w:p>
        </w:tc>
        <w:tc>
          <w:tcPr>
            <w:tcW w:w="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1,300,000</w:t>
            </w:r>
          </w:p>
        </w:tc>
        <w:tc>
          <w:tcPr>
            <w:tcW w:w="0" w:type="dxa"/>
            <w:vAlign w:val="bottom"/>
          </w:tcPr>
          <w:p>
            <w:pPr>
              <w:spacing w:after="0"/>
              <w:rPr>
                <w:sz w:val="1"/>
                <w:szCs w:val="1"/>
                <w:color w:val="auto"/>
              </w:rPr>
            </w:pPr>
          </w:p>
        </w:tc>
      </w:tr>
      <w:tr>
        <w:trPr>
          <w:trHeight w:val="161"/>
        </w:trPr>
        <w:tc>
          <w:tcPr>
            <w:tcW w:w="872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280" w:type="dxa"/>
            <w:vAlign w:val="bottom"/>
          </w:tcPr>
          <w:p>
            <w:pPr>
              <w:spacing w:after="0"/>
              <w:rPr>
                <w:sz w:val="14"/>
                <w:szCs w:val="14"/>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179,600</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219,600</w:t>
            </w:r>
          </w:p>
        </w:tc>
        <w:tc>
          <w:tcPr>
            <w:tcW w:w="0" w:type="dxa"/>
            <w:vAlign w:val="bottom"/>
          </w:tcPr>
          <w:p>
            <w:pPr>
              <w:spacing w:after="0"/>
              <w:rPr>
                <w:sz w:val="1"/>
                <w:szCs w:val="1"/>
                <w:color w:val="auto"/>
              </w:rPr>
            </w:pPr>
          </w:p>
        </w:tc>
      </w:tr>
      <w:tr>
        <w:trPr>
          <w:trHeight w:val="183"/>
        </w:trPr>
        <w:tc>
          <w:tcPr>
            <w:tcW w:w="87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Interest expense</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35,000</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35,000</w:t>
            </w:r>
          </w:p>
        </w:tc>
        <w:tc>
          <w:tcPr>
            <w:tcW w:w="0" w:type="dxa"/>
            <w:vAlign w:val="bottom"/>
          </w:tcPr>
          <w:p>
            <w:pPr>
              <w:spacing w:after="0"/>
              <w:rPr>
                <w:sz w:val="1"/>
                <w:szCs w:val="1"/>
                <w:color w:val="auto"/>
              </w:rPr>
            </w:pPr>
          </w:p>
        </w:tc>
      </w:tr>
      <w:tr>
        <w:trPr>
          <w:trHeight w:val="168"/>
        </w:trPr>
        <w:tc>
          <w:tcPr>
            <w:tcW w:w="8720" w:type="dxa"/>
            <w:vAlign w:val="bottom"/>
          </w:tcPr>
          <w:p>
            <w:pPr>
              <w:ind w:left="240"/>
              <w:spacing w:after="0"/>
              <w:rPr>
                <w:sz w:val="20"/>
                <w:szCs w:val="20"/>
                <w:color w:val="auto"/>
              </w:rPr>
            </w:pPr>
            <w:r>
              <w:rPr>
                <w:rFonts w:ascii="Arial" w:cs="Arial" w:eastAsia="Arial" w:hAnsi="Arial"/>
                <w:sz w:val="13"/>
                <w:szCs w:val="13"/>
                <w:color w:val="auto"/>
              </w:rPr>
              <w:t>Income tax expense</w:t>
            </w:r>
          </w:p>
        </w:tc>
        <w:tc>
          <w:tcPr>
            <w:tcW w:w="280" w:type="dxa"/>
            <w:vAlign w:val="bottom"/>
          </w:tcPr>
          <w:p>
            <w:pPr>
              <w:spacing w:after="0"/>
              <w:rPr>
                <w:sz w:val="14"/>
                <w:szCs w:val="14"/>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220</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220</w:t>
            </w:r>
          </w:p>
        </w:tc>
        <w:tc>
          <w:tcPr>
            <w:tcW w:w="0" w:type="dxa"/>
            <w:vAlign w:val="bottom"/>
          </w:tcPr>
          <w:p>
            <w:pPr>
              <w:spacing w:after="0"/>
              <w:rPr>
                <w:sz w:val="1"/>
                <w:szCs w:val="1"/>
                <w:color w:val="auto"/>
              </w:rPr>
            </w:pPr>
          </w:p>
        </w:tc>
      </w:tr>
      <w:tr>
        <w:trPr>
          <w:trHeight w:val="184"/>
        </w:trPr>
        <w:tc>
          <w:tcPr>
            <w:tcW w:w="87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Depreciation and amortization expense</w:t>
            </w: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102,000</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102,000</w:t>
            </w:r>
          </w:p>
        </w:tc>
        <w:tc>
          <w:tcPr>
            <w:tcW w:w="0" w:type="dxa"/>
            <w:vAlign w:val="bottom"/>
          </w:tcPr>
          <w:p>
            <w:pPr>
              <w:spacing w:after="0"/>
              <w:rPr>
                <w:sz w:val="1"/>
                <w:szCs w:val="1"/>
                <w:color w:val="auto"/>
              </w:rPr>
            </w:pPr>
          </w:p>
        </w:tc>
      </w:tr>
      <w:tr>
        <w:trPr>
          <w:trHeight w:val="163"/>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EBITDA</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316,820</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356,820</w:t>
            </w:r>
          </w:p>
        </w:tc>
        <w:tc>
          <w:tcPr>
            <w:tcW w:w="0" w:type="dxa"/>
            <w:vAlign w:val="bottom"/>
          </w:tcPr>
          <w:p>
            <w:pPr>
              <w:spacing w:after="0"/>
              <w:rPr>
                <w:sz w:val="1"/>
                <w:szCs w:val="1"/>
                <w:color w:val="auto"/>
              </w:rPr>
            </w:pPr>
          </w:p>
        </w:tc>
      </w:tr>
      <w:tr>
        <w:trPr>
          <w:trHeight w:val="175"/>
        </w:trPr>
        <w:tc>
          <w:tcPr>
            <w:tcW w:w="87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Share-based compensation expense (1)</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28,000</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28,000</w:t>
            </w:r>
          </w:p>
        </w:tc>
        <w:tc>
          <w:tcPr>
            <w:tcW w:w="0" w:type="dxa"/>
            <w:vAlign w:val="bottom"/>
          </w:tcPr>
          <w:p>
            <w:pPr>
              <w:spacing w:after="0"/>
              <w:rPr>
                <w:sz w:val="1"/>
                <w:szCs w:val="1"/>
                <w:color w:val="auto"/>
              </w:rPr>
            </w:pPr>
          </w:p>
        </w:tc>
      </w:tr>
      <w:tr>
        <w:trPr>
          <w:trHeight w:val="169"/>
        </w:trPr>
        <w:tc>
          <w:tcPr>
            <w:tcW w:w="872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Legal fees (2)</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180</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180</w:t>
            </w:r>
          </w:p>
        </w:tc>
        <w:tc>
          <w:tcPr>
            <w:tcW w:w="0" w:type="dxa"/>
            <w:vAlign w:val="bottom"/>
          </w:tcPr>
          <w:p>
            <w:pPr>
              <w:spacing w:after="0"/>
              <w:rPr>
                <w:sz w:val="1"/>
                <w:szCs w:val="1"/>
                <w:color w:val="auto"/>
              </w:rPr>
            </w:pPr>
          </w:p>
        </w:tc>
      </w:tr>
      <w:tr>
        <w:trPr>
          <w:trHeight w:val="201"/>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Adjusted EBITDA</w:t>
            </w: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b w:val="1"/>
                <w:bCs w:val="1"/>
                <w:color w:val="auto"/>
                <w:w w:val="82"/>
              </w:rPr>
              <w:t>$</w:t>
            </w:r>
          </w:p>
        </w:tc>
        <w:tc>
          <w:tcPr>
            <w:tcW w:w="9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b w:val="1"/>
                <w:bCs w:val="1"/>
                <w:color w:val="auto"/>
              </w:rPr>
              <w:t>345,000</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97"/>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385,000</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Adjusted EBITDA margin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7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jc w:val="right"/>
              <w:spacing w:after="0" w:line="134" w:lineRule="exact"/>
              <w:rPr>
                <w:sz w:val="20"/>
                <w:szCs w:val="20"/>
                <w:color w:val="auto"/>
              </w:rPr>
            </w:pPr>
            <w:r>
              <w:rPr>
                <w:rFonts w:ascii="Arial" w:cs="Arial" w:eastAsia="Arial" w:hAnsi="Arial"/>
                <w:sz w:val="13"/>
                <w:szCs w:val="13"/>
                <w:color w:val="auto"/>
              </w:rPr>
              <w:t>30 %</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jc w:val="right"/>
              <w:spacing w:after="0" w:line="134" w:lineRule="exact"/>
              <w:rPr>
                <w:sz w:val="20"/>
                <w:szCs w:val="20"/>
                <w:color w:val="auto"/>
              </w:rPr>
            </w:pPr>
            <w:r>
              <w:rPr>
                <w:rFonts w:ascii="Arial" w:cs="Arial" w:eastAsia="Arial" w:hAnsi="Arial"/>
                <w:sz w:val="13"/>
                <w:szCs w:val="13"/>
                <w:color w:val="auto"/>
              </w:rPr>
              <w:t>30 %</w:t>
            </w: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8"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non-cash share-based compensation expense relating to equity awards.</w:t>
      </w:r>
    </w:p>
    <w:p>
      <w:pPr>
        <w:spacing w:after="0" w:line="1" w:lineRule="exact"/>
        <w:rPr>
          <w:rFonts w:ascii="Arial" w:cs="Arial" w:eastAsia="Arial" w:hAnsi="Arial"/>
          <w:sz w:val="14"/>
          <w:szCs w:val="14"/>
          <w:i w:val="1"/>
          <w:iCs w:val="1"/>
          <w:color w:val="auto"/>
        </w:rPr>
      </w:pPr>
    </w:p>
    <w:p>
      <w:pPr>
        <w:ind w:left="320" w:hanging="312"/>
        <w:spacing w:after="0"/>
        <w:tabs>
          <w:tab w:leader="none" w:pos="32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non-recurring legal fees unrelated to our core operations.</w:t>
      </w: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w:t>
      </w:r>
    </w:p>
    <w:sectPr>
      <w:pgSz w:w="11900" w:h="16838" w:orient="portrait"/>
      <w:cols w:equalWidth="0" w:num="1">
        <w:col w:w="11240"/>
      </w:cols>
      <w:pgMar w:left="320" w:top="89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lvl w:ilvl="1">
      <w:lvlJc w:val="left"/>
      <w:lvlText w:val="◦"/>
      <w:numFmt w:val="bullet"/>
      <w:start w:val="1"/>
    </w:lvl>
  </w:abstractNum>
  <w:abstractNum w:abstractNumId="3">
    <w:nsid w:val="3D1B58BA"/>
    <w:multiLevelType w:val="hybridMultilevel"/>
    <w:lvl w:ilvl="0">
      <w:lvlJc w:val="left"/>
      <w:lvlText w:val="•"/>
      <w:numFmt w:val="bullet"/>
      <w:start w:val="1"/>
    </w:lvl>
    <w:lvl w:ilvl="1">
      <w:lvlJc w:val="left"/>
      <w:lvlText w:val="◦"/>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2021-05-12T15:25:09Z</dcterms:created>
  <dcterms:modified xsi:type="dcterms:W3CDTF">2021-05-12T15:25:09Z</dcterms:modified>
</cp:coreProperties>
</file>